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autoSpaceDN w:val="0"/>
        <w:jc w:val="center"/>
        <w:rPr>
          <w:rFonts w:ascii="黑体" w:hAnsi="黑体" w:eastAsia="黑体"/>
          <w:sz w:val="36"/>
          <w:szCs w:val="32"/>
        </w:rPr>
      </w:pPr>
      <w:r>
        <w:rPr>
          <w:rFonts w:hint="eastAsia" w:ascii="黑体" w:hAnsi="黑体" w:eastAsia="黑体" w:cs="黑体"/>
          <w:sz w:val="36"/>
          <w:szCs w:val="32"/>
        </w:rPr>
        <w:t>民办学校（教育机构）检查情况登记表</w:t>
      </w:r>
    </w:p>
    <w:tbl>
      <w:tblPr>
        <w:tblStyle w:val="5"/>
        <w:tblW w:w="9209" w:type="dxa"/>
        <w:jc w:val="center"/>
        <w:tblInd w:w="0" w:type="dxa"/>
        <w:tblLayout w:type="fixed"/>
        <w:tblCellMar>
          <w:top w:w="0" w:type="dxa"/>
          <w:left w:w="0" w:type="dxa"/>
          <w:bottom w:w="0" w:type="dxa"/>
          <w:right w:w="0" w:type="dxa"/>
        </w:tblCellMar>
      </w:tblPr>
      <w:tblGrid>
        <w:gridCol w:w="7225"/>
        <w:gridCol w:w="1984"/>
      </w:tblGrid>
      <w:tr>
        <w:tblPrEx>
          <w:tblLayout w:type="fixed"/>
          <w:tblCellMar>
            <w:top w:w="0" w:type="dxa"/>
            <w:left w:w="0" w:type="dxa"/>
            <w:bottom w:w="0" w:type="dxa"/>
            <w:right w:w="0" w:type="dxa"/>
          </w:tblCellMar>
        </w:tblPrEx>
        <w:trPr>
          <w:trHeight w:val="610" w:hRule="atLeast"/>
          <w:jc w:val="center"/>
        </w:trPr>
        <w:tc>
          <w:tcPr>
            <w:tcW w:w="72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rPr>
                <w:rFonts w:ascii="仿宋_GB2312" w:hAnsi="宋体" w:eastAsia="仿宋_GB2312"/>
                <w:b/>
                <w:sz w:val="28"/>
                <w:szCs w:val="28"/>
              </w:rPr>
            </w:pPr>
            <w:r>
              <w:rPr>
                <w:rFonts w:hint="eastAsia" w:ascii="仿宋_GB2312" w:hAnsi="楷体_GB2312" w:eastAsia="仿宋_GB2312"/>
                <w:b/>
                <w:sz w:val="28"/>
                <w:szCs w:val="28"/>
              </w:rPr>
              <w:t>检查内容</w:t>
            </w:r>
          </w:p>
        </w:tc>
        <w:tc>
          <w:tcPr>
            <w:tcW w:w="1984" w:type="dxa"/>
            <w:tcBorders>
              <w:top w:val="single" w:color="000000" w:sz="4" w:space="0"/>
              <w:left w:val="nil"/>
              <w:right w:val="single" w:color="000000" w:sz="4" w:space="0"/>
            </w:tcBorders>
            <w:vAlign w:val="center"/>
          </w:tcPr>
          <w:p>
            <w:pPr>
              <w:autoSpaceDN w:val="0"/>
              <w:spacing w:line="300" w:lineRule="exact"/>
              <w:jc w:val="center"/>
              <w:rPr>
                <w:rFonts w:ascii="仿宋_GB2312" w:hAnsi="楷体_GB2312" w:eastAsia="仿宋_GB2312"/>
                <w:b/>
                <w:sz w:val="28"/>
                <w:szCs w:val="28"/>
              </w:rPr>
            </w:pPr>
            <w:r>
              <w:rPr>
                <w:rFonts w:hint="eastAsia" w:ascii="仿宋_GB2312" w:hAnsi="楷体_GB2312" w:eastAsia="仿宋_GB2312"/>
                <w:b/>
                <w:sz w:val="28"/>
                <w:szCs w:val="28"/>
              </w:rPr>
              <w:t>责任部门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贯彻党和国家教育方针，坚持社会主义办学方向情况。</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党务部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按照中共中央办公厅《关于加强民办学校党的建设工作的意见（试行）》（中办发〔2016〕78号）文件精神开展党建工作情况。</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党务部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学校董事会（理事会或校务委员会）建立和依法行使决策权情况，校长是否具备国家规定的任职条件，是否行使教育教学和行政管理权。</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政务部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开展教育教学情况，是否按照办学许可证核定的学校名称、办学地点、办学类型、办学层次组织开展教育教学活动。</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政务部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仿宋_GB2312" w:eastAsia="仿宋_GB2312"/>
                <w:sz w:val="28"/>
                <w:szCs w:val="28"/>
              </w:rPr>
            </w:pPr>
            <w:r>
              <w:rPr>
                <w:rFonts w:hint="eastAsia" w:ascii="仿宋_GB2312" w:hAnsi="仿宋_GB2312" w:eastAsia="仿宋_GB2312"/>
                <w:sz w:val="28"/>
                <w:szCs w:val="28"/>
              </w:rPr>
              <w:t>民办学校（教育机构）有无擅自变更或新设教学点。</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教务部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仿宋_GB2312" w:eastAsia="仿宋_GB2312"/>
                <w:sz w:val="28"/>
                <w:szCs w:val="28"/>
              </w:rPr>
            </w:pPr>
            <w:r>
              <w:rPr>
                <w:rFonts w:hint="eastAsia" w:ascii="仿宋_GB2312" w:hAnsi="仿宋_GB2312" w:eastAsia="仿宋_GB2312"/>
                <w:sz w:val="28"/>
                <w:szCs w:val="28"/>
              </w:rPr>
              <w:t>建立和完善规章制度情况，是否有规范的培养目标、专业设置、教学计划、教材使用和学籍管理等制度。</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教务部</w:t>
            </w:r>
          </w:p>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学务部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招生宣传情况，是否有虚假招生宣传、违规招生等行为。</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学务部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师资队伍建设情况，师资队伍是否达到国家规定的标准。聘请的教师有无教学资格证，教师队伍的数量、年龄、职称等指标是否与办学的层次、规模相适应。教职工的工资、福利待遇，教师的社会保险、医疗保险、住房补贴办理，教师的档案管理、职称评定情况是否符合国家政策。</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政务部</w:t>
            </w:r>
          </w:p>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（人事办）</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非学历教育学校（机构）招生情况，是否存在招收普通高等学历教育学生或挂靠具有学历教育招生资格的高校和单位招生的现象。</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pacing w:val="-6"/>
                <w:sz w:val="28"/>
                <w:szCs w:val="28"/>
              </w:rPr>
              <w:t>学校资产过户情况，是否按照法律、法规的规定，将学校的资产过户到学校名下；是否有其他组织和个人非法侵占学校资产的现象。</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财务处</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财务机构和配备专兼职财会人员配备情况，会计人员是否具备会计资格，是否设立银行账户，账目是否符合财务管理规定，是否执行国家统一的会计制度。</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财务处</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收费项目执行情况，是否按照核定的收费项目和标准进行收费，并按规定进行公示。</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财务处</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宋体" w:eastAsia="仿宋_GB2312"/>
                <w:sz w:val="28"/>
                <w:szCs w:val="28"/>
              </w:rPr>
            </w:pPr>
            <w:r>
              <w:rPr>
                <w:rFonts w:hint="eastAsia" w:ascii="仿宋_GB2312" w:hAnsi="仿宋_GB2312" w:eastAsia="仿宋_GB2312"/>
                <w:sz w:val="28"/>
                <w:szCs w:val="28"/>
              </w:rPr>
              <w:t>消防、食品卫生、校舍和校园管理等情况，是否存在安全隐患，是否制定相应的防范措施。</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学务部、政务部（后勤办）</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教育事业统计情况，是否如实如期参加教育事业统计。</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质量部</w:t>
            </w:r>
          </w:p>
        </w:tc>
      </w:tr>
      <w:tr>
        <w:tblPrEx>
          <w:tblLayout w:type="fixed"/>
          <w:tblCellMar>
            <w:top w:w="0" w:type="dxa"/>
            <w:left w:w="0" w:type="dxa"/>
            <w:bottom w:w="0" w:type="dxa"/>
            <w:right w:w="0" w:type="dxa"/>
          </w:tblCellMar>
        </w:tblPrEx>
        <w:trPr>
          <w:jc w:val="center"/>
        </w:trPr>
        <w:tc>
          <w:tcPr>
            <w:tcW w:w="722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autoSpaceDN w:val="0"/>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年度内学校的信访、投诉问题、退学退费问题是否得到了妥善解决。</w:t>
            </w:r>
          </w:p>
        </w:tc>
        <w:tc>
          <w:tcPr>
            <w:tcW w:w="1984"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政务部（信访）</w:t>
            </w:r>
          </w:p>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学务部（退学）</w:t>
            </w:r>
          </w:p>
          <w:p>
            <w:pPr>
              <w:autoSpaceDN w:val="0"/>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财务处（退费）</w:t>
            </w:r>
          </w:p>
        </w:tc>
      </w:tr>
    </w:tbl>
    <w:p>
      <w:pPr>
        <w:rPr>
          <w:rFonts w:ascii="仿宋_GB2312" w:eastAsia="仿宋_GB2312"/>
          <w:sz w:val="28"/>
          <w:szCs w:val="28"/>
        </w:rPr>
      </w:pPr>
    </w:p>
    <w:sectPr>
      <w:pgSz w:w="11906" w:h="16838"/>
      <w:pgMar w:top="1276"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A4"/>
    <w:rsid w:val="000634CA"/>
    <w:rsid w:val="000B456D"/>
    <w:rsid w:val="00102689"/>
    <w:rsid w:val="001171E6"/>
    <w:rsid w:val="00121ABE"/>
    <w:rsid w:val="001447B3"/>
    <w:rsid w:val="00240147"/>
    <w:rsid w:val="002D4023"/>
    <w:rsid w:val="002E655A"/>
    <w:rsid w:val="00300607"/>
    <w:rsid w:val="0037595E"/>
    <w:rsid w:val="003B388C"/>
    <w:rsid w:val="00472A60"/>
    <w:rsid w:val="004A5E98"/>
    <w:rsid w:val="004D0335"/>
    <w:rsid w:val="0051059D"/>
    <w:rsid w:val="00583C34"/>
    <w:rsid w:val="005B76CD"/>
    <w:rsid w:val="005D383E"/>
    <w:rsid w:val="005E4586"/>
    <w:rsid w:val="005F1194"/>
    <w:rsid w:val="005F5F16"/>
    <w:rsid w:val="00620FE4"/>
    <w:rsid w:val="00631807"/>
    <w:rsid w:val="00687EF1"/>
    <w:rsid w:val="006A27F5"/>
    <w:rsid w:val="006D2686"/>
    <w:rsid w:val="007807F1"/>
    <w:rsid w:val="007E0310"/>
    <w:rsid w:val="008162F6"/>
    <w:rsid w:val="00855FC9"/>
    <w:rsid w:val="00864094"/>
    <w:rsid w:val="008A49A0"/>
    <w:rsid w:val="008C2DBC"/>
    <w:rsid w:val="00924FA3"/>
    <w:rsid w:val="00977A2B"/>
    <w:rsid w:val="009B0B55"/>
    <w:rsid w:val="00A7151B"/>
    <w:rsid w:val="00B17A98"/>
    <w:rsid w:val="00B43FC0"/>
    <w:rsid w:val="00B51F11"/>
    <w:rsid w:val="00B823E4"/>
    <w:rsid w:val="00BE5406"/>
    <w:rsid w:val="00C13C24"/>
    <w:rsid w:val="00C1512A"/>
    <w:rsid w:val="00C41B09"/>
    <w:rsid w:val="00D10C4C"/>
    <w:rsid w:val="00D73EDF"/>
    <w:rsid w:val="00D931A4"/>
    <w:rsid w:val="00D93A7C"/>
    <w:rsid w:val="00DC3ACA"/>
    <w:rsid w:val="00DF75B6"/>
    <w:rsid w:val="00E02139"/>
    <w:rsid w:val="00E02972"/>
    <w:rsid w:val="00E55364"/>
    <w:rsid w:val="00E63145"/>
    <w:rsid w:val="00E749AA"/>
    <w:rsid w:val="00E74FB3"/>
    <w:rsid w:val="00F738AE"/>
    <w:rsid w:val="00FC366A"/>
    <w:rsid w:val="00FC50F8"/>
    <w:rsid w:val="00FD73B0"/>
    <w:rsid w:val="75E6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Pages>
  <Words>272</Words>
  <Characters>1551</Characters>
  <Lines>12</Lines>
  <Paragraphs>3</Paragraphs>
  <TotalTime>86</TotalTime>
  <ScaleCrop>false</ScaleCrop>
  <LinksUpToDate>false</LinksUpToDate>
  <CharactersWithSpaces>1820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2018-11-08T01:11:00Z</dcterms:created>
  <dc:creator>gujun</dc:creator>
  <cp:lastModifiedBy>。</cp:lastModifiedBy>
  <dcterms:modified xsi:type="dcterms:W3CDTF">2018-11-23T09:07:00Z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