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jc w:val="left"/>
        <w:rPr>
          <w:rFonts w:ascii="黑体" w:hAnsi="黑体" w:eastAsia="黑体"/>
          <w:sz w:val="32"/>
          <w:szCs w:val="32"/>
        </w:rPr>
      </w:pPr>
      <w:bookmarkStart w:id="0" w:name="_GoBack"/>
      <w:bookmarkEnd w:id="0"/>
      <w:r>
        <w:rPr>
          <w:rFonts w:hint="eastAsia" w:ascii="黑体" w:hAnsi="黑体" w:eastAsia="黑体"/>
          <w:sz w:val="32"/>
          <w:szCs w:val="32"/>
        </w:rPr>
        <w:t>附件：</w:t>
      </w:r>
    </w:p>
    <w:p>
      <w:pPr>
        <w:autoSpaceDN w:val="0"/>
        <w:jc w:val="center"/>
        <w:rPr>
          <w:rFonts w:ascii="黑体" w:hAnsi="黑体" w:eastAsia="黑体"/>
          <w:sz w:val="36"/>
          <w:szCs w:val="32"/>
        </w:rPr>
      </w:pPr>
      <w:r>
        <w:rPr>
          <w:rFonts w:hint="eastAsia" w:ascii="黑体" w:hAnsi="黑体" w:eastAsia="黑体" w:cs="黑体"/>
          <w:sz w:val="36"/>
          <w:szCs w:val="32"/>
        </w:rPr>
        <w:t>民办学校（教育机构）检查情况登记表</w:t>
      </w:r>
    </w:p>
    <w:tbl>
      <w:tblPr>
        <w:tblStyle w:val="5"/>
        <w:tblW w:w="9209" w:type="dxa"/>
        <w:jc w:val="center"/>
        <w:tblInd w:w="0" w:type="dxa"/>
        <w:tblLayout w:type="fixed"/>
        <w:tblCellMar>
          <w:top w:w="0" w:type="dxa"/>
          <w:left w:w="0" w:type="dxa"/>
          <w:bottom w:w="0" w:type="dxa"/>
          <w:right w:w="0" w:type="dxa"/>
        </w:tblCellMar>
      </w:tblPr>
      <w:tblGrid>
        <w:gridCol w:w="7225"/>
        <w:gridCol w:w="1984"/>
      </w:tblGrid>
      <w:tr>
        <w:tblPrEx>
          <w:tblLayout w:type="fixed"/>
          <w:tblCellMar>
            <w:top w:w="0" w:type="dxa"/>
            <w:left w:w="0" w:type="dxa"/>
            <w:bottom w:w="0" w:type="dxa"/>
            <w:right w:w="0" w:type="dxa"/>
          </w:tblCellMar>
        </w:tblPrEx>
        <w:trPr>
          <w:trHeight w:val="610" w:hRule="atLeast"/>
          <w:jc w:val="center"/>
        </w:trPr>
        <w:tc>
          <w:tcPr>
            <w:tcW w:w="7225"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rPr>
                <w:rFonts w:ascii="仿宋_GB2312" w:hAnsi="宋体" w:eastAsia="仿宋_GB2312"/>
                <w:b/>
                <w:sz w:val="28"/>
                <w:szCs w:val="28"/>
              </w:rPr>
            </w:pPr>
            <w:r>
              <w:rPr>
                <w:rFonts w:hint="eastAsia" w:ascii="仿宋_GB2312" w:hAnsi="楷体_GB2312" w:eastAsia="仿宋_GB2312"/>
                <w:b/>
                <w:sz w:val="28"/>
                <w:szCs w:val="28"/>
              </w:rPr>
              <w:t>检查内容</w:t>
            </w:r>
          </w:p>
        </w:tc>
        <w:tc>
          <w:tcPr>
            <w:tcW w:w="1984" w:type="dxa"/>
            <w:tcBorders>
              <w:top w:val="single" w:color="000000" w:sz="4" w:space="0"/>
              <w:left w:val="nil"/>
              <w:right w:val="single" w:color="000000" w:sz="4" w:space="0"/>
            </w:tcBorders>
            <w:vAlign w:val="center"/>
          </w:tcPr>
          <w:p>
            <w:pPr>
              <w:autoSpaceDN w:val="0"/>
              <w:spacing w:line="300" w:lineRule="exact"/>
              <w:jc w:val="center"/>
              <w:rPr>
                <w:rFonts w:ascii="仿宋_GB2312" w:hAnsi="楷体_GB2312" w:eastAsia="仿宋_GB2312"/>
                <w:b/>
                <w:sz w:val="28"/>
                <w:szCs w:val="28"/>
              </w:rPr>
            </w:pPr>
            <w:r>
              <w:rPr>
                <w:rFonts w:hint="eastAsia" w:ascii="仿宋_GB2312" w:hAnsi="楷体_GB2312" w:eastAsia="仿宋_GB2312"/>
                <w:b/>
                <w:sz w:val="28"/>
                <w:szCs w:val="28"/>
              </w:rPr>
              <w:t>责任部门</w:t>
            </w:r>
          </w:p>
        </w:tc>
      </w:tr>
      <w:tr>
        <w:tblPrEx>
          <w:tblLayout w:type="fixed"/>
          <w:tblCellMar>
            <w:top w:w="0" w:type="dxa"/>
            <w:left w:w="0" w:type="dxa"/>
            <w:bottom w:w="0" w:type="dxa"/>
            <w:right w:w="0" w:type="dxa"/>
          </w:tblCellMar>
        </w:tblPrEx>
        <w:trPr>
          <w:jc w:val="center"/>
        </w:trPr>
        <w:tc>
          <w:tcPr>
            <w:tcW w:w="7225"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autoSpaceDN w:val="0"/>
              <w:spacing w:line="300" w:lineRule="exact"/>
              <w:rPr>
                <w:rFonts w:ascii="仿宋_GB2312" w:hAnsi="宋体" w:eastAsia="仿宋_GB2312"/>
                <w:sz w:val="28"/>
                <w:szCs w:val="28"/>
              </w:rPr>
            </w:pPr>
            <w:r>
              <w:rPr>
                <w:rFonts w:hint="eastAsia" w:ascii="仿宋_GB2312" w:hAnsi="仿宋_GB2312" w:eastAsia="仿宋_GB2312"/>
                <w:sz w:val="28"/>
                <w:szCs w:val="28"/>
              </w:rPr>
              <w:t>贯彻党和国家教育方针，坚持社会主义办学方向情况。</w:t>
            </w:r>
          </w:p>
        </w:tc>
        <w:tc>
          <w:tcPr>
            <w:tcW w:w="1984" w:type="dxa"/>
            <w:tcBorders>
              <w:top w:val="single" w:color="000000" w:sz="4" w:space="0"/>
              <w:left w:val="nil"/>
              <w:bottom w:val="single" w:color="000000" w:sz="4" w:space="0"/>
              <w:right w:val="single" w:color="000000" w:sz="4" w:space="0"/>
            </w:tcBorders>
            <w:vAlign w:val="center"/>
          </w:tcPr>
          <w:p>
            <w:pPr>
              <w:autoSpaceDN w:val="0"/>
              <w:spacing w:line="300" w:lineRule="exact"/>
              <w:jc w:val="center"/>
              <w:rPr>
                <w:rFonts w:ascii="仿宋_GB2312" w:hAnsi="仿宋_GB2312" w:eastAsia="仿宋_GB2312"/>
                <w:sz w:val="28"/>
                <w:szCs w:val="28"/>
              </w:rPr>
            </w:pPr>
            <w:r>
              <w:rPr>
                <w:rFonts w:hint="eastAsia" w:ascii="仿宋_GB2312" w:hAnsi="仿宋_GB2312" w:eastAsia="仿宋_GB2312"/>
                <w:sz w:val="28"/>
                <w:szCs w:val="28"/>
              </w:rPr>
              <w:t>党务部</w:t>
            </w:r>
          </w:p>
        </w:tc>
      </w:tr>
      <w:tr>
        <w:tblPrEx>
          <w:tblLayout w:type="fixed"/>
          <w:tblCellMar>
            <w:top w:w="0" w:type="dxa"/>
            <w:left w:w="0" w:type="dxa"/>
            <w:bottom w:w="0" w:type="dxa"/>
            <w:right w:w="0" w:type="dxa"/>
          </w:tblCellMar>
        </w:tblPrEx>
        <w:trPr>
          <w:jc w:val="center"/>
        </w:trPr>
        <w:tc>
          <w:tcPr>
            <w:tcW w:w="7225"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autoSpaceDN w:val="0"/>
              <w:spacing w:line="300" w:lineRule="exact"/>
              <w:rPr>
                <w:rFonts w:ascii="仿宋_GB2312" w:hAnsi="宋体" w:eastAsia="仿宋_GB2312"/>
                <w:sz w:val="28"/>
                <w:szCs w:val="28"/>
              </w:rPr>
            </w:pPr>
            <w:r>
              <w:rPr>
                <w:rFonts w:hint="eastAsia" w:ascii="仿宋_GB2312" w:hAnsi="仿宋_GB2312" w:eastAsia="仿宋_GB2312"/>
                <w:sz w:val="28"/>
                <w:szCs w:val="28"/>
              </w:rPr>
              <w:t>按照中共中央办公厅《关于加强民办学校党的建设工作的意见（试行）》（中办发〔2016〕78号）文件精神开展党建工作情况。</w:t>
            </w:r>
          </w:p>
        </w:tc>
        <w:tc>
          <w:tcPr>
            <w:tcW w:w="1984" w:type="dxa"/>
            <w:tcBorders>
              <w:top w:val="single" w:color="000000" w:sz="4" w:space="0"/>
              <w:left w:val="nil"/>
              <w:bottom w:val="single" w:color="000000" w:sz="4" w:space="0"/>
              <w:right w:val="single" w:color="000000" w:sz="4" w:space="0"/>
            </w:tcBorders>
            <w:vAlign w:val="center"/>
          </w:tcPr>
          <w:p>
            <w:pPr>
              <w:autoSpaceDN w:val="0"/>
              <w:spacing w:line="300" w:lineRule="exact"/>
              <w:jc w:val="center"/>
              <w:rPr>
                <w:rFonts w:ascii="仿宋_GB2312" w:hAnsi="仿宋_GB2312" w:eastAsia="仿宋_GB2312"/>
                <w:sz w:val="28"/>
                <w:szCs w:val="28"/>
              </w:rPr>
            </w:pPr>
            <w:r>
              <w:rPr>
                <w:rFonts w:hint="eastAsia" w:ascii="仿宋_GB2312" w:hAnsi="仿宋_GB2312" w:eastAsia="仿宋_GB2312"/>
                <w:sz w:val="28"/>
                <w:szCs w:val="28"/>
              </w:rPr>
              <w:t>党务部</w:t>
            </w:r>
          </w:p>
        </w:tc>
      </w:tr>
      <w:tr>
        <w:tblPrEx>
          <w:tblLayout w:type="fixed"/>
          <w:tblCellMar>
            <w:top w:w="0" w:type="dxa"/>
            <w:left w:w="0" w:type="dxa"/>
            <w:bottom w:w="0" w:type="dxa"/>
            <w:right w:w="0" w:type="dxa"/>
          </w:tblCellMar>
        </w:tblPrEx>
        <w:trPr>
          <w:jc w:val="center"/>
        </w:trPr>
        <w:tc>
          <w:tcPr>
            <w:tcW w:w="7225"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autoSpaceDN w:val="0"/>
              <w:spacing w:line="300" w:lineRule="exact"/>
              <w:rPr>
                <w:rFonts w:ascii="仿宋_GB2312" w:hAnsi="宋体" w:eastAsia="仿宋_GB2312"/>
                <w:sz w:val="28"/>
                <w:szCs w:val="28"/>
              </w:rPr>
            </w:pPr>
            <w:r>
              <w:rPr>
                <w:rFonts w:hint="eastAsia" w:ascii="仿宋_GB2312" w:hAnsi="仿宋_GB2312" w:eastAsia="仿宋_GB2312"/>
                <w:sz w:val="28"/>
                <w:szCs w:val="28"/>
              </w:rPr>
              <w:t>学校董事会（理事会或校务委员会）建立和依法行使决策权情况，校长是否具备国家规定的任职条件，是否行使教育教学和行政管理权。</w:t>
            </w:r>
          </w:p>
        </w:tc>
        <w:tc>
          <w:tcPr>
            <w:tcW w:w="1984" w:type="dxa"/>
            <w:tcBorders>
              <w:top w:val="single" w:color="000000" w:sz="4" w:space="0"/>
              <w:left w:val="nil"/>
              <w:bottom w:val="single" w:color="000000" w:sz="4" w:space="0"/>
              <w:right w:val="single" w:color="000000" w:sz="4" w:space="0"/>
            </w:tcBorders>
            <w:vAlign w:val="center"/>
          </w:tcPr>
          <w:p>
            <w:pPr>
              <w:autoSpaceDN w:val="0"/>
              <w:spacing w:line="300" w:lineRule="exact"/>
              <w:jc w:val="center"/>
              <w:rPr>
                <w:rFonts w:ascii="仿宋_GB2312" w:hAnsi="仿宋_GB2312" w:eastAsia="仿宋_GB2312"/>
                <w:sz w:val="28"/>
                <w:szCs w:val="28"/>
              </w:rPr>
            </w:pPr>
            <w:r>
              <w:rPr>
                <w:rFonts w:hint="eastAsia" w:ascii="仿宋_GB2312" w:hAnsi="仿宋_GB2312" w:eastAsia="仿宋_GB2312"/>
                <w:sz w:val="28"/>
                <w:szCs w:val="28"/>
              </w:rPr>
              <w:t>政务部</w:t>
            </w:r>
          </w:p>
        </w:tc>
      </w:tr>
      <w:tr>
        <w:tblPrEx>
          <w:tblLayout w:type="fixed"/>
          <w:tblCellMar>
            <w:top w:w="0" w:type="dxa"/>
            <w:left w:w="0" w:type="dxa"/>
            <w:bottom w:w="0" w:type="dxa"/>
            <w:right w:w="0" w:type="dxa"/>
          </w:tblCellMar>
        </w:tblPrEx>
        <w:trPr>
          <w:jc w:val="center"/>
        </w:trPr>
        <w:tc>
          <w:tcPr>
            <w:tcW w:w="7225"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autoSpaceDN w:val="0"/>
              <w:spacing w:line="300" w:lineRule="exact"/>
              <w:rPr>
                <w:rFonts w:ascii="仿宋_GB2312" w:hAnsi="宋体" w:eastAsia="仿宋_GB2312"/>
                <w:sz w:val="28"/>
                <w:szCs w:val="28"/>
              </w:rPr>
            </w:pPr>
            <w:r>
              <w:rPr>
                <w:rFonts w:hint="eastAsia" w:ascii="仿宋_GB2312" w:hAnsi="仿宋_GB2312" w:eastAsia="仿宋_GB2312"/>
                <w:sz w:val="28"/>
                <w:szCs w:val="28"/>
              </w:rPr>
              <w:t>开展教育教学情况，是否按照办学许可证核定的学校名称、办学地点、办学类型、办学层次组织开展教育教学活动。</w:t>
            </w:r>
          </w:p>
        </w:tc>
        <w:tc>
          <w:tcPr>
            <w:tcW w:w="1984" w:type="dxa"/>
            <w:tcBorders>
              <w:top w:val="single" w:color="000000" w:sz="4" w:space="0"/>
              <w:left w:val="nil"/>
              <w:bottom w:val="single" w:color="000000" w:sz="4" w:space="0"/>
              <w:right w:val="single" w:color="000000" w:sz="4" w:space="0"/>
            </w:tcBorders>
            <w:vAlign w:val="center"/>
          </w:tcPr>
          <w:p>
            <w:pPr>
              <w:autoSpaceDN w:val="0"/>
              <w:spacing w:line="300" w:lineRule="exact"/>
              <w:jc w:val="center"/>
              <w:rPr>
                <w:rFonts w:ascii="仿宋_GB2312" w:hAnsi="仿宋_GB2312" w:eastAsia="仿宋_GB2312"/>
                <w:sz w:val="28"/>
                <w:szCs w:val="28"/>
              </w:rPr>
            </w:pPr>
            <w:r>
              <w:rPr>
                <w:rFonts w:hint="eastAsia" w:ascii="仿宋_GB2312" w:hAnsi="仿宋_GB2312" w:eastAsia="仿宋_GB2312"/>
                <w:sz w:val="28"/>
                <w:szCs w:val="28"/>
              </w:rPr>
              <w:t>政务部</w:t>
            </w:r>
          </w:p>
        </w:tc>
      </w:tr>
      <w:tr>
        <w:tblPrEx>
          <w:tblLayout w:type="fixed"/>
          <w:tblCellMar>
            <w:top w:w="0" w:type="dxa"/>
            <w:left w:w="0" w:type="dxa"/>
            <w:bottom w:w="0" w:type="dxa"/>
            <w:right w:w="0" w:type="dxa"/>
          </w:tblCellMar>
        </w:tblPrEx>
        <w:trPr>
          <w:jc w:val="center"/>
        </w:trPr>
        <w:tc>
          <w:tcPr>
            <w:tcW w:w="7225"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autoSpaceDN w:val="0"/>
              <w:spacing w:line="300" w:lineRule="exact"/>
              <w:rPr>
                <w:rFonts w:ascii="仿宋_GB2312" w:hAnsi="仿宋_GB2312" w:eastAsia="仿宋_GB2312"/>
                <w:sz w:val="28"/>
                <w:szCs w:val="28"/>
              </w:rPr>
            </w:pPr>
            <w:r>
              <w:rPr>
                <w:rFonts w:hint="eastAsia" w:ascii="仿宋_GB2312" w:hAnsi="仿宋_GB2312" w:eastAsia="仿宋_GB2312"/>
                <w:sz w:val="28"/>
                <w:szCs w:val="28"/>
              </w:rPr>
              <w:t>民办学校（教育机构）有无擅自变更或新设教学点。</w:t>
            </w:r>
          </w:p>
        </w:tc>
        <w:tc>
          <w:tcPr>
            <w:tcW w:w="1984" w:type="dxa"/>
            <w:tcBorders>
              <w:top w:val="single" w:color="000000" w:sz="4" w:space="0"/>
              <w:left w:val="nil"/>
              <w:bottom w:val="single" w:color="000000" w:sz="4" w:space="0"/>
              <w:right w:val="single" w:color="000000" w:sz="4" w:space="0"/>
            </w:tcBorders>
            <w:vAlign w:val="center"/>
          </w:tcPr>
          <w:p>
            <w:pPr>
              <w:autoSpaceDN w:val="0"/>
              <w:spacing w:line="300" w:lineRule="exact"/>
              <w:jc w:val="center"/>
              <w:rPr>
                <w:rFonts w:ascii="仿宋_GB2312" w:hAnsi="仿宋_GB2312" w:eastAsia="仿宋_GB2312"/>
                <w:sz w:val="28"/>
                <w:szCs w:val="28"/>
              </w:rPr>
            </w:pPr>
            <w:r>
              <w:rPr>
                <w:rFonts w:hint="eastAsia" w:ascii="仿宋_GB2312" w:hAnsi="仿宋_GB2312" w:eastAsia="仿宋_GB2312"/>
                <w:sz w:val="28"/>
                <w:szCs w:val="28"/>
              </w:rPr>
              <w:t>教务部</w:t>
            </w:r>
          </w:p>
        </w:tc>
      </w:tr>
      <w:tr>
        <w:tblPrEx>
          <w:tblLayout w:type="fixed"/>
          <w:tblCellMar>
            <w:top w:w="0" w:type="dxa"/>
            <w:left w:w="0" w:type="dxa"/>
            <w:bottom w:w="0" w:type="dxa"/>
            <w:right w:w="0" w:type="dxa"/>
          </w:tblCellMar>
        </w:tblPrEx>
        <w:trPr>
          <w:jc w:val="center"/>
        </w:trPr>
        <w:tc>
          <w:tcPr>
            <w:tcW w:w="7225"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autoSpaceDN w:val="0"/>
              <w:spacing w:line="300" w:lineRule="exact"/>
              <w:rPr>
                <w:rFonts w:ascii="仿宋_GB2312" w:hAnsi="仿宋_GB2312" w:eastAsia="仿宋_GB2312"/>
                <w:sz w:val="28"/>
                <w:szCs w:val="28"/>
              </w:rPr>
            </w:pPr>
            <w:r>
              <w:rPr>
                <w:rFonts w:hint="eastAsia" w:ascii="仿宋_GB2312" w:hAnsi="仿宋_GB2312" w:eastAsia="仿宋_GB2312"/>
                <w:sz w:val="28"/>
                <w:szCs w:val="28"/>
              </w:rPr>
              <w:t>建立和完善规章制度情况，是否有规范的培养目标、专业设置、教学计划、教材使用和学籍管理等制度。</w:t>
            </w:r>
          </w:p>
        </w:tc>
        <w:tc>
          <w:tcPr>
            <w:tcW w:w="1984" w:type="dxa"/>
            <w:tcBorders>
              <w:top w:val="single" w:color="000000" w:sz="4" w:space="0"/>
              <w:left w:val="nil"/>
              <w:bottom w:val="single" w:color="000000" w:sz="4" w:space="0"/>
              <w:right w:val="single" w:color="000000" w:sz="4" w:space="0"/>
            </w:tcBorders>
            <w:vAlign w:val="center"/>
          </w:tcPr>
          <w:p>
            <w:pPr>
              <w:autoSpaceDN w:val="0"/>
              <w:spacing w:line="300" w:lineRule="exact"/>
              <w:jc w:val="center"/>
              <w:rPr>
                <w:rFonts w:ascii="仿宋_GB2312" w:hAnsi="仿宋_GB2312" w:eastAsia="仿宋_GB2312"/>
                <w:sz w:val="28"/>
                <w:szCs w:val="28"/>
              </w:rPr>
            </w:pPr>
            <w:r>
              <w:rPr>
                <w:rFonts w:hint="eastAsia" w:ascii="仿宋_GB2312" w:hAnsi="仿宋_GB2312" w:eastAsia="仿宋_GB2312"/>
                <w:sz w:val="28"/>
                <w:szCs w:val="28"/>
              </w:rPr>
              <w:t>教务部</w:t>
            </w:r>
          </w:p>
          <w:p>
            <w:pPr>
              <w:autoSpaceDN w:val="0"/>
              <w:spacing w:line="300" w:lineRule="exact"/>
              <w:jc w:val="center"/>
              <w:rPr>
                <w:rFonts w:ascii="仿宋_GB2312" w:hAnsi="仿宋_GB2312" w:eastAsia="仿宋_GB2312"/>
                <w:sz w:val="28"/>
                <w:szCs w:val="28"/>
              </w:rPr>
            </w:pPr>
            <w:r>
              <w:rPr>
                <w:rFonts w:hint="eastAsia" w:ascii="仿宋_GB2312" w:hAnsi="仿宋_GB2312" w:eastAsia="仿宋_GB2312"/>
                <w:sz w:val="28"/>
                <w:szCs w:val="28"/>
              </w:rPr>
              <w:t>学务部</w:t>
            </w:r>
          </w:p>
        </w:tc>
      </w:tr>
      <w:tr>
        <w:tblPrEx>
          <w:tblLayout w:type="fixed"/>
          <w:tblCellMar>
            <w:top w:w="0" w:type="dxa"/>
            <w:left w:w="0" w:type="dxa"/>
            <w:bottom w:w="0" w:type="dxa"/>
            <w:right w:w="0" w:type="dxa"/>
          </w:tblCellMar>
        </w:tblPrEx>
        <w:trPr>
          <w:jc w:val="center"/>
        </w:trPr>
        <w:tc>
          <w:tcPr>
            <w:tcW w:w="7225"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autoSpaceDN w:val="0"/>
              <w:spacing w:line="300" w:lineRule="exact"/>
              <w:rPr>
                <w:rFonts w:ascii="仿宋_GB2312" w:hAnsi="宋体" w:eastAsia="仿宋_GB2312"/>
                <w:sz w:val="28"/>
                <w:szCs w:val="28"/>
              </w:rPr>
            </w:pPr>
            <w:r>
              <w:rPr>
                <w:rFonts w:hint="eastAsia" w:ascii="仿宋_GB2312" w:hAnsi="仿宋_GB2312" w:eastAsia="仿宋_GB2312"/>
                <w:sz w:val="28"/>
                <w:szCs w:val="28"/>
              </w:rPr>
              <w:t>招生宣传情况，是否有虚假招生宣传、违规招生等行为。</w:t>
            </w:r>
          </w:p>
        </w:tc>
        <w:tc>
          <w:tcPr>
            <w:tcW w:w="1984" w:type="dxa"/>
            <w:tcBorders>
              <w:top w:val="single" w:color="000000" w:sz="4" w:space="0"/>
              <w:left w:val="nil"/>
              <w:bottom w:val="single" w:color="000000" w:sz="4" w:space="0"/>
              <w:right w:val="single" w:color="000000" w:sz="4" w:space="0"/>
            </w:tcBorders>
            <w:vAlign w:val="center"/>
          </w:tcPr>
          <w:p>
            <w:pPr>
              <w:autoSpaceDN w:val="0"/>
              <w:spacing w:line="300" w:lineRule="exact"/>
              <w:jc w:val="center"/>
              <w:rPr>
                <w:rFonts w:ascii="仿宋_GB2312" w:hAnsi="仿宋_GB2312" w:eastAsia="仿宋_GB2312"/>
                <w:sz w:val="28"/>
                <w:szCs w:val="28"/>
              </w:rPr>
            </w:pPr>
            <w:r>
              <w:rPr>
                <w:rFonts w:hint="eastAsia" w:ascii="仿宋_GB2312" w:hAnsi="仿宋_GB2312" w:eastAsia="仿宋_GB2312"/>
                <w:sz w:val="28"/>
                <w:szCs w:val="28"/>
              </w:rPr>
              <w:t>学务部</w:t>
            </w:r>
          </w:p>
        </w:tc>
      </w:tr>
      <w:tr>
        <w:tblPrEx>
          <w:tblLayout w:type="fixed"/>
          <w:tblCellMar>
            <w:top w:w="0" w:type="dxa"/>
            <w:left w:w="0" w:type="dxa"/>
            <w:bottom w:w="0" w:type="dxa"/>
            <w:right w:w="0" w:type="dxa"/>
          </w:tblCellMar>
        </w:tblPrEx>
        <w:trPr>
          <w:jc w:val="center"/>
        </w:trPr>
        <w:tc>
          <w:tcPr>
            <w:tcW w:w="7225"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autoSpaceDN w:val="0"/>
              <w:spacing w:line="300" w:lineRule="exact"/>
              <w:rPr>
                <w:rFonts w:ascii="仿宋_GB2312" w:hAnsi="宋体" w:eastAsia="仿宋_GB2312"/>
                <w:sz w:val="28"/>
                <w:szCs w:val="28"/>
              </w:rPr>
            </w:pPr>
            <w:r>
              <w:rPr>
                <w:rFonts w:hint="eastAsia" w:ascii="仿宋_GB2312" w:hAnsi="仿宋_GB2312" w:eastAsia="仿宋_GB2312"/>
                <w:sz w:val="28"/>
                <w:szCs w:val="28"/>
              </w:rPr>
              <w:t>师资队伍建设情况，师资队伍是否达到国家规定的标准。聘请的教师有无教学资格证，教师队伍的数量、年龄、职称等指标是否与办学的层次、规模相适应。教职工的工资、福利待遇，教师的社会保险、医疗保险、住房补贴办理，教师的档案管理、职称评定情况是否符合国家政策。</w:t>
            </w:r>
          </w:p>
        </w:tc>
        <w:tc>
          <w:tcPr>
            <w:tcW w:w="1984" w:type="dxa"/>
            <w:tcBorders>
              <w:top w:val="single" w:color="000000" w:sz="4" w:space="0"/>
              <w:left w:val="nil"/>
              <w:bottom w:val="single" w:color="000000" w:sz="4" w:space="0"/>
              <w:right w:val="single" w:color="000000" w:sz="4" w:space="0"/>
            </w:tcBorders>
            <w:vAlign w:val="center"/>
          </w:tcPr>
          <w:p>
            <w:pPr>
              <w:autoSpaceDN w:val="0"/>
              <w:spacing w:line="300" w:lineRule="exact"/>
              <w:jc w:val="center"/>
              <w:rPr>
                <w:rFonts w:ascii="仿宋_GB2312" w:hAnsi="仿宋_GB2312" w:eastAsia="仿宋_GB2312"/>
                <w:sz w:val="28"/>
                <w:szCs w:val="28"/>
              </w:rPr>
            </w:pPr>
            <w:r>
              <w:rPr>
                <w:rFonts w:hint="eastAsia" w:ascii="仿宋_GB2312" w:hAnsi="仿宋_GB2312" w:eastAsia="仿宋_GB2312"/>
                <w:sz w:val="28"/>
                <w:szCs w:val="28"/>
              </w:rPr>
              <w:t>政务部</w:t>
            </w:r>
          </w:p>
          <w:p>
            <w:pPr>
              <w:autoSpaceDN w:val="0"/>
              <w:spacing w:line="300" w:lineRule="exact"/>
              <w:jc w:val="center"/>
              <w:rPr>
                <w:rFonts w:ascii="仿宋_GB2312" w:hAnsi="仿宋_GB2312" w:eastAsia="仿宋_GB2312"/>
                <w:sz w:val="28"/>
                <w:szCs w:val="28"/>
              </w:rPr>
            </w:pPr>
            <w:r>
              <w:rPr>
                <w:rFonts w:hint="eastAsia" w:ascii="仿宋_GB2312" w:hAnsi="仿宋_GB2312" w:eastAsia="仿宋_GB2312"/>
                <w:sz w:val="28"/>
                <w:szCs w:val="28"/>
              </w:rPr>
              <w:t>（人事办）</w:t>
            </w:r>
          </w:p>
        </w:tc>
      </w:tr>
      <w:tr>
        <w:tblPrEx>
          <w:tblLayout w:type="fixed"/>
          <w:tblCellMar>
            <w:top w:w="0" w:type="dxa"/>
            <w:left w:w="0" w:type="dxa"/>
            <w:bottom w:w="0" w:type="dxa"/>
            <w:right w:w="0" w:type="dxa"/>
          </w:tblCellMar>
        </w:tblPrEx>
        <w:trPr>
          <w:jc w:val="center"/>
        </w:trPr>
        <w:tc>
          <w:tcPr>
            <w:tcW w:w="7225"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autoSpaceDN w:val="0"/>
              <w:spacing w:line="300" w:lineRule="exact"/>
              <w:rPr>
                <w:rFonts w:ascii="仿宋_GB2312" w:hAnsi="宋体" w:eastAsia="仿宋_GB2312"/>
                <w:sz w:val="28"/>
                <w:szCs w:val="28"/>
              </w:rPr>
            </w:pPr>
            <w:r>
              <w:rPr>
                <w:rFonts w:hint="eastAsia" w:ascii="仿宋_GB2312" w:hAnsi="仿宋_GB2312" w:eastAsia="仿宋_GB2312"/>
                <w:sz w:val="28"/>
                <w:szCs w:val="28"/>
              </w:rPr>
              <w:t>非学历教育学校（机构）招生情况，是否存在招收普通高等学历教育学生或挂靠具有学历教育招生资格的高校和单位招生的现象。</w:t>
            </w:r>
          </w:p>
        </w:tc>
        <w:tc>
          <w:tcPr>
            <w:tcW w:w="1984" w:type="dxa"/>
            <w:tcBorders>
              <w:top w:val="single" w:color="000000" w:sz="4" w:space="0"/>
              <w:left w:val="nil"/>
              <w:bottom w:val="single" w:color="000000" w:sz="4" w:space="0"/>
              <w:right w:val="single" w:color="000000" w:sz="4" w:space="0"/>
            </w:tcBorders>
            <w:vAlign w:val="center"/>
          </w:tcPr>
          <w:p>
            <w:pPr>
              <w:autoSpaceDN w:val="0"/>
              <w:spacing w:line="300" w:lineRule="exact"/>
              <w:jc w:val="center"/>
              <w:rPr>
                <w:rFonts w:ascii="仿宋_GB2312" w:hAnsi="仿宋_GB2312" w:eastAsia="仿宋_GB2312"/>
                <w:sz w:val="28"/>
                <w:szCs w:val="28"/>
              </w:rPr>
            </w:pPr>
            <w:r>
              <w:rPr>
                <w:rFonts w:hint="eastAsia" w:ascii="仿宋_GB2312" w:hAnsi="仿宋_GB2312" w:eastAsia="仿宋_GB2312"/>
                <w:sz w:val="28"/>
                <w:szCs w:val="28"/>
              </w:rPr>
              <w:t>----</w:t>
            </w:r>
          </w:p>
        </w:tc>
      </w:tr>
      <w:tr>
        <w:tblPrEx>
          <w:tblLayout w:type="fixed"/>
          <w:tblCellMar>
            <w:top w:w="0" w:type="dxa"/>
            <w:left w:w="0" w:type="dxa"/>
            <w:bottom w:w="0" w:type="dxa"/>
            <w:right w:w="0" w:type="dxa"/>
          </w:tblCellMar>
        </w:tblPrEx>
        <w:trPr>
          <w:jc w:val="center"/>
        </w:trPr>
        <w:tc>
          <w:tcPr>
            <w:tcW w:w="7225"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autoSpaceDN w:val="0"/>
              <w:spacing w:line="300" w:lineRule="exact"/>
              <w:rPr>
                <w:rFonts w:ascii="仿宋_GB2312" w:hAnsi="宋体" w:eastAsia="仿宋_GB2312"/>
                <w:sz w:val="28"/>
                <w:szCs w:val="28"/>
              </w:rPr>
            </w:pPr>
            <w:r>
              <w:rPr>
                <w:rFonts w:hint="eastAsia" w:ascii="仿宋_GB2312" w:hAnsi="仿宋_GB2312" w:eastAsia="仿宋_GB2312"/>
                <w:spacing w:val="-6"/>
                <w:sz w:val="28"/>
                <w:szCs w:val="28"/>
              </w:rPr>
              <w:t>学校资产过户情况，是否按照法律、法规的规定，将学校的资产过户到学校名下；是否有其他组织和个人非法侵占学校资产的现象。</w:t>
            </w:r>
          </w:p>
        </w:tc>
        <w:tc>
          <w:tcPr>
            <w:tcW w:w="1984" w:type="dxa"/>
            <w:tcBorders>
              <w:top w:val="single" w:color="000000" w:sz="4" w:space="0"/>
              <w:left w:val="nil"/>
              <w:bottom w:val="single" w:color="000000" w:sz="4" w:space="0"/>
              <w:right w:val="single" w:color="000000" w:sz="4" w:space="0"/>
            </w:tcBorders>
            <w:vAlign w:val="center"/>
          </w:tcPr>
          <w:p>
            <w:pPr>
              <w:autoSpaceDN w:val="0"/>
              <w:spacing w:line="300" w:lineRule="exact"/>
              <w:jc w:val="center"/>
              <w:rPr>
                <w:rFonts w:ascii="仿宋_GB2312" w:hAnsi="仿宋_GB2312" w:eastAsia="仿宋_GB2312"/>
                <w:sz w:val="28"/>
                <w:szCs w:val="28"/>
              </w:rPr>
            </w:pPr>
            <w:r>
              <w:rPr>
                <w:rFonts w:hint="eastAsia" w:ascii="仿宋_GB2312" w:hAnsi="仿宋_GB2312" w:eastAsia="仿宋_GB2312"/>
                <w:sz w:val="28"/>
                <w:szCs w:val="28"/>
              </w:rPr>
              <w:t>财务处</w:t>
            </w:r>
          </w:p>
        </w:tc>
      </w:tr>
      <w:tr>
        <w:tblPrEx>
          <w:tblLayout w:type="fixed"/>
          <w:tblCellMar>
            <w:top w:w="0" w:type="dxa"/>
            <w:left w:w="0" w:type="dxa"/>
            <w:bottom w:w="0" w:type="dxa"/>
            <w:right w:w="0" w:type="dxa"/>
          </w:tblCellMar>
        </w:tblPrEx>
        <w:trPr>
          <w:jc w:val="center"/>
        </w:trPr>
        <w:tc>
          <w:tcPr>
            <w:tcW w:w="7225"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autoSpaceDN w:val="0"/>
              <w:spacing w:line="300" w:lineRule="exact"/>
              <w:rPr>
                <w:rFonts w:ascii="仿宋_GB2312" w:hAnsi="宋体" w:eastAsia="仿宋_GB2312"/>
                <w:sz w:val="28"/>
                <w:szCs w:val="28"/>
              </w:rPr>
            </w:pPr>
            <w:r>
              <w:rPr>
                <w:rFonts w:hint="eastAsia" w:ascii="仿宋_GB2312" w:hAnsi="仿宋_GB2312" w:eastAsia="仿宋_GB2312"/>
                <w:sz w:val="28"/>
                <w:szCs w:val="28"/>
              </w:rPr>
              <w:t>财务机构和配备专兼职财会人员配备情况，会计人员是否具备会计资格，是否设立银行账户，账目是否符合财务管理规定，是否执行国家统一的会计制度。</w:t>
            </w:r>
          </w:p>
        </w:tc>
        <w:tc>
          <w:tcPr>
            <w:tcW w:w="1984" w:type="dxa"/>
            <w:tcBorders>
              <w:top w:val="single" w:color="000000" w:sz="4" w:space="0"/>
              <w:left w:val="nil"/>
              <w:bottom w:val="single" w:color="000000" w:sz="4" w:space="0"/>
              <w:right w:val="single" w:color="000000" w:sz="4" w:space="0"/>
            </w:tcBorders>
            <w:vAlign w:val="center"/>
          </w:tcPr>
          <w:p>
            <w:pPr>
              <w:autoSpaceDN w:val="0"/>
              <w:spacing w:line="300" w:lineRule="exact"/>
              <w:jc w:val="center"/>
              <w:rPr>
                <w:rFonts w:ascii="仿宋_GB2312" w:hAnsi="仿宋_GB2312" w:eastAsia="仿宋_GB2312"/>
                <w:sz w:val="28"/>
                <w:szCs w:val="28"/>
              </w:rPr>
            </w:pPr>
            <w:r>
              <w:rPr>
                <w:rFonts w:hint="eastAsia" w:ascii="仿宋_GB2312" w:hAnsi="仿宋_GB2312" w:eastAsia="仿宋_GB2312"/>
                <w:sz w:val="28"/>
                <w:szCs w:val="28"/>
              </w:rPr>
              <w:t>财务处</w:t>
            </w:r>
          </w:p>
        </w:tc>
      </w:tr>
      <w:tr>
        <w:tblPrEx>
          <w:tblLayout w:type="fixed"/>
          <w:tblCellMar>
            <w:top w:w="0" w:type="dxa"/>
            <w:left w:w="0" w:type="dxa"/>
            <w:bottom w:w="0" w:type="dxa"/>
            <w:right w:w="0" w:type="dxa"/>
          </w:tblCellMar>
        </w:tblPrEx>
        <w:trPr>
          <w:jc w:val="center"/>
        </w:trPr>
        <w:tc>
          <w:tcPr>
            <w:tcW w:w="7225"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autoSpaceDN w:val="0"/>
              <w:spacing w:line="300" w:lineRule="exact"/>
              <w:rPr>
                <w:rFonts w:ascii="仿宋_GB2312" w:hAnsi="宋体" w:eastAsia="仿宋_GB2312"/>
                <w:sz w:val="28"/>
                <w:szCs w:val="28"/>
              </w:rPr>
            </w:pPr>
            <w:r>
              <w:rPr>
                <w:rFonts w:hint="eastAsia" w:ascii="仿宋_GB2312" w:hAnsi="仿宋_GB2312" w:eastAsia="仿宋_GB2312"/>
                <w:sz w:val="28"/>
                <w:szCs w:val="28"/>
              </w:rPr>
              <w:t>收费项目执行情况，是否按照核定的收费项目和标准进行收费，并按规定进行公示。</w:t>
            </w:r>
          </w:p>
        </w:tc>
        <w:tc>
          <w:tcPr>
            <w:tcW w:w="1984" w:type="dxa"/>
            <w:tcBorders>
              <w:top w:val="single" w:color="000000" w:sz="4" w:space="0"/>
              <w:left w:val="nil"/>
              <w:bottom w:val="single" w:color="000000" w:sz="4" w:space="0"/>
              <w:right w:val="single" w:color="000000" w:sz="4" w:space="0"/>
            </w:tcBorders>
            <w:vAlign w:val="center"/>
          </w:tcPr>
          <w:p>
            <w:pPr>
              <w:autoSpaceDN w:val="0"/>
              <w:spacing w:line="300" w:lineRule="exact"/>
              <w:jc w:val="center"/>
              <w:rPr>
                <w:rFonts w:ascii="仿宋_GB2312" w:hAnsi="仿宋_GB2312" w:eastAsia="仿宋_GB2312"/>
                <w:sz w:val="28"/>
                <w:szCs w:val="28"/>
              </w:rPr>
            </w:pPr>
            <w:r>
              <w:rPr>
                <w:rFonts w:hint="eastAsia" w:ascii="仿宋_GB2312" w:hAnsi="仿宋_GB2312" w:eastAsia="仿宋_GB2312"/>
                <w:sz w:val="28"/>
                <w:szCs w:val="28"/>
              </w:rPr>
              <w:t>财务处</w:t>
            </w:r>
          </w:p>
        </w:tc>
      </w:tr>
      <w:tr>
        <w:tblPrEx>
          <w:tblLayout w:type="fixed"/>
          <w:tblCellMar>
            <w:top w:w="0" w:type="dxa"/>
            <w:left w:w="0" w:type="dxa"/>
            <w:bottom w:w="0" w:type="dxa"/>
            <w:right w:w="0" w:type="dxa"/>
          </w:tblCellMar>
        </w:tblPrEx>
        <w:trPr>
          <w:jc w:val="center"/>
        </w:trPr>
        <w:tc>
          <w:tcPr>
            <w:tcW w:w="7225"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autoSpaceDN w:val="0"/>
              <w:spacing w:line="300" w:lineRule="exact"/>
              <w:rPr>
                <w:rFonts w:ascii="仿宋_GB2312" w:hAnsi="宋体" w:eastAsia="仿宋_GB2312"/>
                <w:sz w:val="28"/>
                <w:szCs w:val="28"/>
              </w:rPr>
            </w:pPr>
            <w:r>
              <w:rPr>
                <w:rFonts w:hint="eastAsia" w:ascii="仿宋_GB2312" w:hAnsi="仿宋_GB2312" w:eastAsia="仿宋_GB2312"/>
                <w:sz w:val="28"/>
                <w:szCs w:val="28"/>
              </w:rPr>
              <w:t>消防、食品卫生、校舍和校园管理等情况，是否存在安全隐患，是否制定相应的防范措施。</w:t>
            </w:r>
          </w:p>
        </w:tc>
        <w:tc>
          <w:tcPr>
            <w:tcW w:w="1984" w:type="dxa"/>
            <w:tcBorders>
              <w:top w:val="single" w:color="000000" w:sz="4" w:space="0"/>
              <w:left w:val="nil"/>
              <w:bottom w:val="single" w:color="000000" w:sz="4" w:space="0"/>
              <w:right w:val="single" w:color="000000" w:sz="4" w:space="0"/>
            </w:tcBorders>
            <w:vAlign w:val="center"/>
          </w:tcPr>
          <w:p>
            <w:pPr>
              <w:autoSpaceDN w:val="0"/>
              <w:spacing w:line="300" w:lineRule="exact"/>
              <w:jc w:val="center"/>
              <w:rPr>
                <w:rFonts w:ascii="仿宋_GB2312" w:hAnsi="仿宋_GB2312" w:eastAsia="仿宋_GB2312"/>
                <w:sz w:val="28"/>
                <w:szCs w:val="28"/>
              </w:rPr>
            </w:pPr>
            <w:r>
              <w:rPr>
                <w:rFonts w:hint="eastAsia" w:ascii="仿宋_GB2312" w:hAnsi="仿宋_GB2312" w:eastAsia="仿宋_GB2312"/>
                <w:sz w:val="28"/>
                <w:szCs w:val="28"/>
              </w:rPr>
              <w:t>学务部、政务部（后勤办）</w:t>
            </w:r>
          </w:p>
        </w:tc>
      </w:tr>
      <w:tr>
        <w:tblPrEx>
          <w:tblLayout w:type="fixed"/>
          <w:tblCellMar>
            <w:top w:w="0" w:type="dxa"/>
            <w:left w:w="0" w:type="dxa"/>
            <w:bottom w:w="0" w:type="dxa"/>
            <w:right w:w="0" w:type="dxa"/>
          </w:tblCellMar>
        </w:tblPrEx>
        <w:trPr>
          <w:jc w:val="center"/>
        </w:trPr>
        <w:tc>
          <w:tcPr>
            <w:tcW w:w="7225"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autoSpaceDN w:val="0"/>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教育事业统计情况，是否如实如期参加教育事业统计。</w:t>
            </w:r>
          </w:p>
        </w:tc>
        <w:tc>
          <w:tcPr>
            <w:tcW w:w="1984" w:type="dxa"/>
            <w:tcBorders>
              <w:top w:val="single" w:color="000000" w:sz="4" w:space="0"/>
              <w:left w:val="nil"/>
              <w:bottom w:val="single" w:color="000000" w:sz="4" w:space="0"/>
              <w:right w:val="single" w:color="000000" w:sz="4" w:space="0"/>
            </w:tcBorders>
            <w:vAlign w:val="center"/>
          </w:tcPr>
          <w:p>
            <w:pPr>
              <w:autoSpaceDN w:val="0"/>
              <w:spacing w:line="300" w:lineRule="exact"/>
              <w:jc w:val="center"/>
              <w:rPr>
                <w:rFonts w:ascii="仿宋_GB2312" w:hAnsi="仿宋_GB2312" w:eastAsia="仿宋_GB2312"/>
                <w:sz w:val="28"/>
                <w:szCs w:val="28"/>
              </w:rPr>
            </w:pPr>
            <w:r>
              <w:rPr>
                <w:rFonts w:hint="eastAsia" w:ascii="仿宋_GB2312" w:hAnsi="仿宋_GB2312" w:eastAsia="仿宋_GB2312"/>
                <w:sz w:val="28"/>
                <w:szCs w:val="28"/>
              </w:rPr>
              <w:t>质量部</w:t>
            </w:r>
          </w:p>
        </w:tc>
      </w:tr>
      <w:tr>
        <w:tblPrEx>
          <w:tblLayout w:type="fixed"/>
          <w:tblCellMar>
            <w:top w:w="0" w:type="dxa"/>
            <w:left w:w="0" w:type="dxa"/>
            <w:bottom w:w="0" w:type="dxa"/>
            <w:right w:w="0" w:type="dxa"/>
          </w:tblCellMar>
        </w:tblPrEx>
        <w:trPr>
          <w:jc w:val="center"/>
        </w:trPr>
        <w:tc>
          <w:tcPr>
            <w:tcW w:w="7225"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autoSpaceDN w:val="0"/>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年度内学校的信访、投诉问题、退学退费问题是否得到了妥善解决。</w:t>
            </w:r>
          </w:p>
        </w:tc>
        <w:tc>
          <w:tcPr>
            <w:tcW w:w="1984" w:type="dxa"/>
            <w:tcBorders>
              <w:top w:val="single" w:color="000000" w:sz="4" w:space="0"/>
              <w:left w:val="nil"/>
              <w:bottom w:val="single" w:color="000000" w:sz="4" w:space="0"/>
              <w:right w:val="single" w:color="000000" w:sz="4" w:space="0"/>
            </w:tcBorders>
            <w:vAlign w:val="center"/>
          </w:tcPr>
          <w:p>
            <w:pPr>
              <w:autoSpaceDN w:val="0"/>
              <w:spacing w:line="300" w:lineRule="exact"/>
              <w:jc w:val="center"/>
              <w:rPr>
                <w:rFonts w:ascii="仿宋_GB2312" w:hAnsi="仿宋_GB2312" w:eastAsia="仿宋_GB2312"/>
                <w:sz w:val="28"/>
                <w:szCs w:val="28"/>
              </w:rPr>
            </w:pPr>
            <w:r>
              <w:rPr>
                <w:rFonts w:hint="eastAsia" w:ascii="仿宋_GB2312" w:hAnsi="仿宋_GB2312" w:eastAsia="仿宋_GB2312"/>
                <w:sz w:val="28"/>
                <w:szCs w:val="28"/>
              </w:rPr>
              <w:t>政务部（信访）</w:t>
            </w:r>
          </w:p>
          <w:p>
            <w:pPr>
              <w:autoSpaceDN w:val="0"/>
              <w:spacing w:line="300" w:lineRule="exact"/>
              <w:jc w:val="center"/>
              <w:rPr>
                <w:rFonts w:ascii="仿宋_GB2312" w:hAnsi="仿宋_GB2312" w:eastAsia="仿宋_GB2312"/>
                <w:sz w:val="28"/>
                <w:szCs w:val="28"/>
              </w:rPr>
            </w:pPr>
            <w:r>
              <w:rPr>
                <w:rFonts w:hint="eastAsia" w:ascii="仿宋_GB2312" w:hAnsi="仿宋_GB2312" w:eastAsia="仿宋_GB2312"/>
                <w:sz w:val="28"/>
                <w:szCs w:val="28"/>
              </w:rPr>
              <w:t>学务部（退学）</w:t>
            </w:r>
          </w:p>
          <w:p>
            <w:pPr>
              <w:autoSpaceDN w:val="0"/>
              <w:spacing w:line="300" w:lineRule="exact"/>
              <w:jc w:val="center"/>
              <w:rPr>
                <w:rFonts w:ascii="仿宋_GB2312" w:hAnsi="仿宋_GB2312" w:eastAsia="仿宋_GB2312"/>
                <w:sz w:val="28"/>
                <w:szCs w:val="28"/>
              </w:rPr>
            </w:pPr>
            <w:r>
              <w:rPr>
                <w:rFonts w:hint="eastAsia" w:ascii="仿宋_GB2312" w:hAnsi="仿宋_GB2312" w:eastAsia="仿宋_GB2312"/>
                <w:sz w:val="28"/>
                <w:szCs w:val="28"/>
              </w:rPr>
              <w:t>财务处（退费）</w:t>
            </w:r>
          </w:p>
        </w:tc>
      </w:tr>
    </w:tbl>
    <w:p>
      <w:pPr>
        <w:rPr>
          <w:rFonts w:ascii="仿宋_GB2312" w:eastAsia="仿宋_GB2312"/>
          <w:sz w:val="28"/>
          <w:szCs w:val="28"/>
        </w:rPr>
      </w:pPr>
    </w:p>
    <w:sectPr>
      <w:pgSz w:w="11906" w:h="16838"/>
      <w:pgMar w:top="1276" w:right="1800" w:bottom="1134"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1A4"/>
    <w:rsid w:val="000634CA"/>
    <w:rsid w:val="000B456D"/>
    <w:rsid w:val="00102689"/>
    <w:rsid w:val="001171E6"/>
    <w:rsid w:val="00121ABE"/>
    <w:rsid w:val="001447B3"/>
    <w:rsid w:val="00240147"/>
    <w:rsid w:val="002D4023"/>
    <w:rsid w:val="002E655A"/>
    <w:rsid w:val="00300607"/>
    <w:rsid w:val="0037595E"/>
    <w:rsid w:val="003B388C"/>
    <w:rsid w:val="00472A60"/>
    <w:rsid w:val="004A5E98"/>
    <w:rsid w:val="004D0335"/>
    <w:rsid w:val="0051059D"/>
    <w:rsid w:val="00583C34"/>
    <w:rsid w:val="005B76CD"/>
    <w:rsid w:val="005D383E"/>
    <w:rsid w:val="005E4586"/>
    <w:rsid w:val="005F1194"/>
    <w:rsid w:val="005F5F16"/>
    <w:rsid w:val="00620FE4"/>
    <w:rsid w:val="00631807"/>
    <w:rsid w:val="00687EF1"/>
    <w:rsid w:val="006A27F5"/>
    <w:rsid w:val="006D2686"/>
    <w:rsid w:val="007807F1"/>
    <w:rsid w:val="007E0310"/>
    <w:rsid w:val="008162F6"/>
    <w:rsid w:val="00855FC9"/>
    <w:rsid w:val="00864094"/>
    <w:rsid w:val="008A49A0"/>
    <w:rsid w:val="008C2DBC"/>
    <w:rsid w:val="00924FA3"/>
    <w:rsid w:val="00977A2B"/>
    <w:rsid w:val="009B0B55"/>
    <w:rsid w:val="00A7151B"/>
    <w:rsid w:val="00B17A98"/>
    <w:rsid w:val="00B43FC0"/>
    <w:rsid w:val="00B51F11"/>
    <w:rsid w:val="00B823E4"/>
    <w:rsid w:val="00BE5406"/>
    <w:rsid w:val="00C13C24"/>
    <w:rsid w:val="00C1512A"/>
    <w:rsid w:val="00C41B09"/>
    <w:rsid w:val="00D10C4C"/>
    <w:rsid w:val="00D73EDF"/>
    <w:rsid w:val="00D931A4"/>
    <w:rsid w:val="00D93A7C"/>
    <w:rsid w:val="00DC3ACA"/>
    <w:rsid w:val="00DF75B6"/>
    <w:rsid w:val="00E02139"/>
    <w:rsid w:val="00E02972"/>
    <w:rsid w:val="00E55364"/>
    <w:rsid w:val="00E63145"/>
    <w:rsid w:val="00E749AA"/>
    <w:rsid w:val="00E74FB3"/>
    <w:rsid w:val="00F738AE"/>
    <w:rsid w:val="00FC366A"/>
    <w:rsid w:val="00FC50F8"/>
    <w:rsid w:val="00FD73B0"/>
    <w:rsid w:val="75E63F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4"/>
    <w:link w:val="3"/>
    <w:qFormat/>
    <w:uiPriority w:val="99"/>
    <w:rPr>
      <w:sz w:val="18"/>
      <w:szCs w:val="18"/>
    </w:rPr>
  </w:style>
  <w:style w:type="character" w:customStyle="1" w:styleId="7">
    <w:name w:val="页脚 字符"/>
    <w:basedOn w:val="4"/>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Win10NeT.COM</Company>
  <Pages>1</Pages>
  <Words>272</Words>
  <Characters>1551</Characters>
  <Lines>12</Lines>
  <Paragraphs>3</Paragraphs>
  <TotalTime>86</TotalTime>
  <ScaleCrop>false</ScaleCrop>
  <LinksUpToDate>false</LinksUpToDate>
  <CharactersWithSpaces>1820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2018-11-08T01:11:00Z</dcterms:created>
  <dc:creator>gujun</dc:creator>
  <cp:lastModifiedBy>。</cp:lastModifiedBy>
  <dcterms:modified xsi:type="dcterms:W3CDTF">2018-11-23T09:07:00Z</dcterms:modified>
  <cp:revision>119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