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933" w:tblpY="2668"/>
        <w:tblOverlap w:val="never"/>
        <w:tblW w:w="124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6367"/>
        <w:gridCol w:w="1317"/>
        <w:gridCol w:w="1583"/>
        <w:gridCol w:w="1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6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成果题目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作 者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发表形式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6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佛教文化中国化的探讨——以佛塔的中国化为视角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田  冲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论文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6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构建与重塑我国制度权威的时代价值及路径选择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白宝山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论文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ind w:firstLine="480" w:firstLineChars="200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6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我省民办高校在转型升级背景下专业设置的经济性研究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张君凤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研究报告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ind w:firstLine="480" w:firstLineChars="200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4</w:t>
            </w:r>
          </w:p>
        </w:tc>
        <w:tc>
          <w:tcPr>
            <w:tcW w:w="6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少林武术文化对嵩山少林武术职业学院校园文化影响研究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姜丙刚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论文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ind w:firstLine="480" w:firstLineChars="200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5</w:t>
            </w:r>
          </w:p>
        </w:tc>
        <w:tc>
          <w:tcPr>
            <w:tcW w:w="6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河南省国家级非遗在高校图书馆的保护现状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周斌斌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论文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三等奖</w:t>
            </w:r>
          </w:p>
        </w:tc>
      </w:tr>
    </w:tbl>
    <w:p>
      <w:pPr>
        <w:ind w:firstLine="3920" w:firstLineChars="1400"/>
        <w:rPr>
          <w:rFonts w:hint="eastAsia" w:ascii="宋体" w:hAnsi="宋体" w:cs="宋体"/>
          <w:b/>
          <w:color w:val="000000"/>
          <w:kern w:val="0"/>
          <w:sz w:val="44"/>
          <w:szCs w:val="44"/>
          <w:lang w:eastAsia="zh-CN"/>
        </w:rPr>
      </w:pPr>
      <w:bookmarkStart w:id="0" w:name="_GoBack"/>
      <w:r>
        <w:rPr>
          <w:rFonts w:hint="eastAsia" w:ascii="宋体" w:hAnsi="宋体"/>
          <w:color w:val="auto"/>
          <w:sz w:val="28"/>
          <w:szCs w:val="28"/>
        </w:rPr>
        <w:t>郑州市2017—2018年度社会科学优秀成果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获奖名单</w:t>
      </w:r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46BDB"/>
    <w:rsid w:val="6CA46BD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2018-12-26T08:20:00Z</dcterms:created>
  <dc:creator>答滴滴</dc:creator>
  <cp:lastModifiedBy>答滴滴</cp:lastModifiedBy>
  <dcterms:modified xsi:type="dcterms:W3CDTF">2018-12-26T08:23:27Z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