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关于嵩山少林武术职业学院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优秀教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科研成果奖评选结果的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通知</w:t>
      </w:r>
    </w:p>
    <w:p>
      <w:pPr>
        <w:jc w:val="center"/>
        <w:rPr>
          <w:rFonts w:hint="eastAsia" w:ascii="宋体" w:hAnsi="宋体" w:cs="宋体"/>
          <w:sz w:val="36"/>
          <w:szCs w:val="36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院（系）、部门：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根据《嵩山少林武术职业学院科研管理办法（试行）》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《嵩山少林武术职业学院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优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秀教科研成果奖暂行办法</w:t>
      </w:r>
      <w:r>
        <w:rPr>
          <w:rFonts w:hint="eastAsia" w:ascii="仿宋" w:hAnsi="仿宋" w:eastAsia="仿宋" w:cs="仿宋"/>
          <w:sz w:val="28"/>
          <w:szCs w:val="28"/>
        </w:rPr>
        <w:t>》的有关规定，本着公平、公正、严格、规范的原则，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院学术委员会教科研成果奖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评审小组</w:t>
      </w:r>
      <w:r>
        <w:rPr>
          <w:rFonts w:hint="eastAsia" w:ascii="仿宋" w:hAnsi="仿宋" w:eastAsia="仿宋" w:cs="仿宋"/>
          <w:sz w:val="28"/>
          <w:szCs w:val="28"/>
        </w:rPr>
        <w:t>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我院教师提交的</w:t>
      </w:r>
      <w:r>
        <w:rPr>
          <w:rFonts w:hint="eastAsia" w:ascii="仿宋" w:hAnsi="仿宋" w:eastAsia="仿宋" w:cs="仿宋"/>
          <w:sz w:val="28"/>
          <w:szCs w:val="28"/>
        </w:rPr>
        <w:t>教科研成果进行了评审，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现将评审结果公布如下。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附件1：教学质量工程获奖名单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附件2：教学成果获奖名单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附件3：科研成果获奖名单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880" w:firstLineChars="21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质量部</w:t>
      </w:r>
    </w:p>
    <w:p>
      <w:pPr>
        <w:spacing w:line="360" w:lineRule="auto"/>
        <w:ind w:firstLine="5320" w:firstLineChars="19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2019年10月22日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480" w:lineRule="exact"/>
        <w:jc w:val="center"/>
        <w:rPr>
          <w:rFonts w:hint="eastAsia" w:ascii="黑体" w:hAnsi="宋体-18030" w:eastAsia="黑体" w:cs="宋体-18030"/>
          <w:sz w:val="32"/>
          <w:szCs w:val="32"/>
          <w:lang w:val="en-US" w:eastAsia="zh-CN"/>
        </w:rPr>
      </w:pPr>
      <w:r>
        <w:rPr>
          <w:rFonts w:hint="eastAsia" w:ascii="黑体" w:hAnsi="宋体-18030" w:eastAsia="黑体" w:cs="宋体-18030"/>
          <w:sz w:val="32"/>
          <w:szCs w:val="32"/>
          <w:lang w:val="en-US" w:eastAsia="zh-CN"/>
        </w:rPr>
        <w:t>教学质量工程获奖名单</w:t>
      </w:r>
    </w:p>
    <w:tbl>
      <w:tblPr>
        <w:tblStyle w:val="2"/>
        <w:tblpPr w:leftFromText="180" w:rightFromText="180" w:vertAnchor="page" w:horzAnchor="page" w:tblpX="1168" w:tblpY="2762"/>
        <w:tblOverlap w:val="never"/>
        <w:tblW w:w="14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86"/>
        <w:gridCol w:w="1043"/>
        <w:gridCol w:w="1950"/>
        <w:gridCol w:w="1410"/>
        <w:gridCol w:w="1380"/>
        <w:gridCol w:w="1755"/>
        <w:gridCol w:w="447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896" w:hRule="atLeast"/>
          <w:tblHeader/>
        </w:trPr>
        <w:tc>
          <w:tcPr>
            <w:tcW w:w="886" w:type="dxa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成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果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名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分类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25" w:rightChars="-12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（例:16-1）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发表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出版媒体</w:t>
            </w:r>
          </w:p>
        </w:tc>
        <w:tc>
          <w:tcPr>
            <w:tcW w:w="44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40" w:rightChars="-19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主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要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参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加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-40" w:rightChars="-19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（按成果原顺序填写）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40" w:rightChars="-19"/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079" w:hRule="exact"/>
        </w:trPr>
        <w:tc>
          <w:tcPr>
            <w:tcW w:w="8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武丹丹</w:t>
            </w:r>
          </w:p>
        </w:tc>
        <w:tc>
          <w:tcPr>
            <w:tcW w:w="19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汉语专业优秀基层教学组织</w:t>
            </w:r>
          </w:p>
        </w:tc>
        <w:tc>
          <w:tcPr>
            <w:tcW w:w="141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18-10</w:t>
            </w:r>
          </w:p>
        </w:tc>
        <w:tc>
          <w:tcPr>
            <w:tcW w:w="17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郑州市教育局</w:t>
            </w:r>
          </w:p>
        </w:tc>
        <w:tc>
          <w:tcPr>
            <w:tcW w:w="447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申桂生、张君凤、田 冲、李峰亮、张玲艳、宋冬莹、彭恩丽、贾海涛、杨小彦</w:t>
            </w:r>
          </w:p>
        </w:tc>
        <w:tc>
          <w:tcPr>
            <w:tcW w:w="132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特等奖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before="156" w:beforeLines="50" w:after="156" w:afterLines="50" w:line="480" w:lineRule="exact"/>
        <w:jc w:val="both"/>
        <w:rPr>
          <w:rFonts w:hint="eastAsia" w:ascii="黑体" w:hAnsi="宋体-18030" w:eastAsia="黑体" w:cs="宋体-18030"/>
          <w:sz w:val="40"/>
          <w:szCs w:val="22"/>
          <w:lang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黑体" w:hAnsi="宋体-18030" w:eastAsia="黑体" w:cs="宋体-18030"/>
          <w:sz w:val="40"/>
          <w:szCs w:val="22"/>
          <w:lang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黑体" w:hAnsi="宋体-18030" w:eastAsia="黑体" w:cs="宋体-18030"/>
          <w:sz w:val="40"/>
          <w:szCs w:val="22"/>
          <w:lang w:eastAsia="zh-CN"/>
        </w:rPr>
      </w:pPr>
    </w:p>
    <w:p>
      <w:pPr>
        <w:spacing w:before="156" w:beforeLines="50" w:after="156" w:afterLines="50" w:line="480" w:lineRule="exact"/>
        <w:jc w:val="both"/>
        <w:rPr>
          <w:rFonts w:hint="eastAsia" w:ascii="黑体" w:hAnsi="宋体-18030" w:eastAsia="黑体" w:cs="宋体-18030"/>
          <w:sz w:val="40"/>
          <w:szCs w:val="22"/>
          <w:lang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黑体" w:hAnsi="宋体-18030" w:eastAsia="黑体" w:cs="宋体-18030"/>
          <w:sz w:val="32"/>
          <w:szCs w:val="32"/>
          <w:lang w:val="en-US" w:eastAsia="zh-CN"/>
        </w:rPr>
      </w:pPr>
      <w:r>
        <w:rPr>
          <w:rFonts w:hint="eastAsia" w:ascii="黑体" w:hAnsi="宋体-18030" w:eastAsia="黑体" w:cs="宋体-18030"/>
          <w:sz w:val="32"/>
          <w:szCs w:val="32"/>
          <w:lang w:val="en-US" w:eastAsia="zh-CN"/>
        </w:rPr>
        <w:t>教学成果获奖名单</w:t>
      </w:r>
    </w:p>
    <w:tbl>
      <w:tblPr>
        <w:tblStyle w:val="2"/>
        <w:tblW w:w="13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79"/>
        <w:gridCol w:w="1065"/>
        <w:gridCol w:w="4335"/>
        <w:gridCol w:w="1118"/>
        <w:gridCol w:w="1312"/>
        <w:gridCol w:w="1740"/>
        <w:gridCol w:w="2558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0" w:hRule="atLeast"/>
          <w:tblHeader/>
          <w:jc w:val="center"/>
        </w:trPr>
        <w:tc>
          <w:tcPr>
            <w:tcW w:w="67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4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成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果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名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称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分类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25" w:rightChars="-12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（例:16-1）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发表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出版媒体</w:t>
            </w:r>
          </w:p>
        </w:tc>
        <w:tc>
          <w:tcPr>
            <w:tcW w:w="255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40" w:rightChars="-19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主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要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参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加</w:t>
            </w:r>
            <w:r>
              <w:rPr>
                <w:rFonts w:asci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者（按成果原顺序填写）</w:t>
            </w:r>
          </w:p>
        </w:tc>
        <w:tc>
          <w:tcPr>
            <w:tcW w:w="115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40" w:rightChars="-19"/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46" w:hRule="exact"/>
          <w:tblHeader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4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2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40" w:rightChars="-19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40" w:rightChars="-19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94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周 华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高职院校行政管理专业课程设置存在的问题及对策研究—以郑州市S学院为例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19-3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《西北成人教育学院学报》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59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陈祥真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高职学生手机成瘾倾向现状及对策探析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心理学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18-10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《教育与职业》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709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武丹丹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嵩山少林武术职业学院汉语（国际文化交流）专业特色发展研究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19-7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郑州市教育局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白宝山、张君凤、姜 韧、杨小彦、宋冬莹</w:t>
            </w: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704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彭恩丽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五年制高职历史探究式教学浅谈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历史学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18-9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《当代教育实践与教学研究》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89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白宝山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《论语》与高校思想政治理论课的结合性研究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思想政治教育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19-7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郑州市教育局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张明丽、郜艳丽、高金慧、肖爱民、陈祥真、樊艳芳</w:t>
            </w: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69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李峰亮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汉语国际教育专业古代汉语教学改进策略初探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18-7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《成长》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三等奖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39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杨小彦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郑州市高职学生心理健康问题调查及教育对策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18-7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郑州市社科联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陈祥真、刘 元、李淑平</w:t>
            </w: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54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 胜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中华武龙运动在高校开展的可行性研究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体育学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19-8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《风景名胜》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 伟</w:t>
            </w: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704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 伟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少林拳在课堂教学中的常见问题及改进策略——以拳谚为视角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体育学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19-9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《农家参谋》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弓 菲</w:t>
            </w: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44" w:hRule="exact"/>
          <w:jc w:val="center"/>
        </w:trPr>
        <w:tc>
          <w:tcPr>
            <w:tcW w:w="67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滕传英</w:t>
            </w:r>
          </w:p>
        </w:tc>
        <w:tc>
          <w:tcPr>
            <w:tcW w:w="4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高职英语课堂动态教学模式的研究</w:t>
            </w:r>
          </w:p>
        </w:tc>
        <w:tc>
          <w:tcPr>
            <w:tcW w:w="111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外语教学</w:t>
            </w:r>
          </w:p>
        </w:tc>
        <w:tc>
          <w:tcPr>
            <w:tcW w:w="131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18-12</w:t>
            </w:r>
          </w:p>
        </w:tc>
        <w:tc>
          <w:tcPr>
            <w:tcW w:w="174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《考试周刊》</w:t>
            </w:r>
          </w:p>
        </w:tc>
        <w:tc>
          <w:tcPr>
            <w:tcW w:w="255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黑体" w:hAnsi="宋体-18030" w:eastAsia="黑体" w:cs="宋体-18030"/>
          <w:sz w:val="32"/>
          <w:szCs w:val="32"/>
          <w:lang w:val="en-US" w:eastAsia="zh-CN"/>
        </w:rPr>
      </w:pPr>
      <w:r>
        <w:rPr>
          <w:rFonts w:hint="eastAsia" w:ascii="黑体" w:hAnsi="宋体-18030" w:eastAsia="黑体" w:cs="宋体-18030"/>
          <w:sz w:val="32"/>
          <w:szCs w:val="32"/>
          <w:lang w:val="en-US" w:eastAsia="zh-CN"/>
        </w:rPr>
        <w:t>科研成果获奖名单</w:t>
      </w:r>
    </w:p>
    <w:tbl>
      <w:tblPr>
        <w:tblStyle w:val="2"/>
        <w:tblW w:w="14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57"/>
        <w:gridCol w:w="902"/>
        <w:gridCol w:w="4162"/>
        <w:gridCol w:w="1277"/>
        <w:gridCol w:w="1335"/>
        <w:gridCol w:w="1965"/>
        <w:gridCol w:w="265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06" w:hRule="atLeast"/>
          <w:tblHeader/>
          <w:jc w:val="center"/>
        </w:trPr>
        <w:tc>
          <w:tcPr>
            <w:tcW w:w="657" w:type="dxa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1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成 果 名 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分类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（例:16-1）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发表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出版媒体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主 要 参 加 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（按成果原顺序填写）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44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宋广锋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河南省民办高校党建工作体制的调查与对策研究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政治学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19-6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河南省高校基层党建创新项目</w:t>
            </w: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刘少鹏、牛超群、谷 俊、张 迪、魏晓慧</w:t>
            </w: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689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周斌斌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国内物联网平台的发展现状研究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计算机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18-3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《创新科技》</w:t>
            </w: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689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李峰亮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高职院校特色课程实施的几点思考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18-2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《湖北成人教育学院学报》</w:t>
            </w: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41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张玲艳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尼泊尔汉语教师志愿者调查的实证分析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国际汉语教育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18-6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《红河学院学报》</w:t>
            </w: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赵 勋</w:t>
            </w: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41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周 华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郑州市民办高职院校青年教师离职原因及对策研究—以郑州市某民办高校为例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18-7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郑州市社科联</w:t>
            </w: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周斌斌、杨小彦</w:t>
            </w: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41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张君凤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古代茶诗中的茶文化探析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文学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18-5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《福建茶叶》</w:t>
            </w: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837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谷 俊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大学生微商风险与高校校园管理应对研究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19-7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郑州市教育局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葛 丽、宋广锋、陈祥真、王会珠、朱海娜、白宝山</w:t>
            </w: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689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张艳艳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中原城市群推进过程中土地资源优化配置研究配置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管理学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19-5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郑州市社科联</w:t>
            </w: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冯晓娟、洪 星、周 华、杨小彦</w:t>
            </w: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699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展小瑞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郑州市民营企业内部会计控制分析研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会计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19-5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郑州市社科联</w:t>
            </w: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 冲、刘 生、张敏杰、洪 星、李淑平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94" w:hRule="exact"/>
          <w:jc w:val="center"/>
        </w:trPr>
        <w:tc>
          <w:tcPr>
            <w:tcW w:w="65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0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刘巧利</w:t>
            </w:r>
          </w:p>
        </w:tc>
        <w:tc>
          <w:tcPr>
            <w:tcW w:w="416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翻转课堂在教学中的实践与应用--以Flash课程为例</w:t>
            </w:r>
          </w:p>
        </w:tc>
        <w:tc>
          <w:tcPr>
            <w:tcW w:w="12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3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19-9</w:t>
            </w:r>
          </w:p>
        </w:tc>
        <w:tc>
          <w:tcPr>
            <w:tcW w:w="196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河南省民办教育协会</w:t>
            </w:r>
          </w:p>
        </w:tc>
        <w:tc>
          <w:tcPr>
            <w:tcW w:w="265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杨坤平、周斌斌、李卫峰、张亚利</w:t>
            </w:r>
          </w:p>
        </w:tc>
        <w:tc>
          <w:tcPr>
            <w:tcW w:w="108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624" w:hRule="exact"/>
          <w:jc w:val="center"/>
        </w:trPr>
        <w:tc>
          <w:tcPr>
            <w:tcW w:w="6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张君凤</w:t>
            </w:r>
          </w:p>
        </w:tc>
        <w:tc>
          <w:tcPr>
            <w:tcW w:w="416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探索中国古代与现代文学理论的异同</w:t>
            </w:r>
          </w:p>
        </w:tc>
        <w:tc>
          <w:tcPr>
            <w:tcW w:w="127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文学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18-11</w:t>
            </w: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《汉字文化》</w:t>
            </w:r>
          </w:p>
        </w:tc>
        <w:tc>
          <w:tcPr>
            <w:tcW w:w="26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24" w:hRule="exact"/>
          <w:jc w:val="center"/>
        </w:trPr>
        <w:tc>
          <w:tcPr>
            <w:tcW w:w="6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彭恩丽</w:t>
            </w:r>
          </w:p>
        </w:tc>
        <w:tc>
          <w:tcPr>
            <w:tcW w:w="416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高职院校辅导员对学生干部的培养途径探究</w:t>
            </w:r>
          </w:p>
        </w:tc>
        <w:tc>
          <w:tcPr>
            <w:tcW w:w="127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教育学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19-3</w:t>
            </w: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《传播力研究》</w:t>
            </w:r>
          </w:p>
        </w:tc>
        <w:tc>
          <w:tcPr>
            <w:tcW w:w="26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24" w:hRule="exact"/>
          <w:jc w:val="center"/>
        </w:trPr>
        <w:tc>
          <w:tcPr>
            <w:tcW w:w="6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赵 勋</w:t>
            </w:r>
          </w:p>
        </w:tc>
        <w:tc>
          <w:tcPr>
            <w:tcW w:w="416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巴基斯坦大学生汉语学习策略研究</w:t>
            </w:r>
          </w:p>
        </w:tc>
        <w:tc>
          <w:tcPr>
            <w:tcW w:w="127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国际汉语教育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19-7</w:t>
            </w: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《西北成人教育学院学报》</w:t>
            </w:r>
          </w:p>
        </w:tc>
        <w:tc>
          <w:tcPr>
            <w:tcW w:w="26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69" w:hRule="exact"/>
          <w:jc w:val="center"/>
        </w:trPr>
        <w:tc>
          <w:tcPr>
            <w:tcW w:w="6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高建伟</w:t>
            </w:r>
          </w:p>
        </w:tc>
        <w:tc>
          <w:tcPr>
            <w:tcW w:w="416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高校教务管理信息化系统应用中存在的问题及改进措施</w:t>
            </w:r>
          </w:p>
        </w:tc>
        <w:tc>
          <w:tcPr>
            <w:tcW w:w="127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管理学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19-4</w:t>
            </w: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《河南教育</w:t>
            </w:r>
            <w:r>
              <w:rPr>
                <w:rFonts w:hint="default" w:ascii="Calibri" w:hAnsi="Calibri" w:eastAsia="仿宋" w:cs="Calibri"/>
                <w:kern w:val="2"/>
                <w:sz w:val="24"/>
                <w:szCs w:val="24"/>
                <w:lang w:val="en-US" w:eastAsia="zh-CN" w:bidi="ar-SA"/>
              </w:rPr>
              <w:t>·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高教版》</w:t>
            </w:r>
          </w:p>
        </w:tc>
        <w:tc>
          <w:tcPr>
            <w:tcW w:w="26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69" w:hRule="exact"/>
          <w:jc w:val="center"/>
        </w:trPr>
        <w:tc>
          <w:tcPr>
            <w:tcW w:w="6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李丽娜</w:t>
            </w:r>
          </w:p>
        </w:tc>
        <w:tc>
          <w:tcPr>
            <w:tcW w:w="416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探讨需求层次理论在企业人力资源管理实践中的应用</w:t>
            </w:r>
          </w:p>
        </w:tc>
        <w:tc>
          <w:tcPr>
            <w:tcW w:w="127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管理学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19-5</w:t>
            </w: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《理财》</w:t>
            </w:r>
          </w:p>
        </w:tc>
        <w:tc>
          <w:tcPr>
            <w:tcW w:w="26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19" w:hRule="exact"/>
          <w:jc w:val="center"/>
        </w:trPr>
        <w:tc>
          <w:tcPr>
            <w:tcW w:w="6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弓 菲</w:t>
            </w:r>
          </w:p>
        </w:tc>
        <w:tc>
          <w:tcPr>
            <w:tcW w:w="416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研讨武术表演对武术全球化发展的推动作用</w:t>
            </w:r>
          </w:p>
        </w:tc>
        <w:tc>
          <w:tcPr>
            <w:tcW w:w="127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体育学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19-4</w:t>
            </w: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《产业与科技论坛》</w:t>
            </w:r>
          </w:p>
        </w:tc>
        <w:tc>
          <w:tcPr>
            <w:tcW w:w="26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wAfter w:w="0" w:type="auto"/>
          <w:cantSplit/>
          <w:trHeight w:val="783" w:hRule="exact"/>
          <w:jc w:val="center"/>
        </w:trPr>
        <w:tc>
          <w:tcPr>
            <w:tcW w:w="65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周斌斌</w:t>
            </w:r>
          </w:p>
        </w:tc>
        <w:tc>
          <w:tcPr>
            <w:tcW w:w="416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非遗视野下少林武术在高校图书馆的保护与传承机制研究</w:t>
            </w:r>
          </w:p>
        </w:tc>
        <w:tc>
          <w:tcPr>
            <w:tcW w:w="127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图书情报</w:t>
            </w:r>
          </w:p>
        </w:tc>
        <w:tc>
          <w:tcPr>
            <w:tcW w:w="133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19-6</w:t>
            </w:r>
          </w:p>
        </w:tc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河南省图书馆协会</w:t>
            </w:r>
          </w:p>
        </w:tc>
        <w:tc>
          <w:tcPr>
            <w:tcW w:w="265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田 冲、白宝山</w:t>
            </w: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</w:tr>
    </w:tbl>
    <w:p>
      <w:pPr>
        <w:rPr>
          <w:rFonts w:hint="eastAsia"/>
          <w:sz w:val="24"/>
          <w:szCs w:val="21"/>
          <w:lang w:eastAsia="zh-CN"/>
        </w:rPr>
      </w:pPr>
    </w:p>
    <w:p>
      <w:pPr>
        <w:spacing w:before="156" w:beforeLines="50" w:after="156" w:afterLines="50" w:line="480" w:lineRule="exact"/>
        <w:jc w:val="both"/>
        <w:rPr>
          <w:rFonts w:hint="eastAsia" w:ascii="黑体" w:hAnsi="宋体-18030" w:eastAsia="黑体" w:cs="宋体-18030"/>
          <w:sz w:val="40"/>
          <w:szCs w:val="2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E6AC3"/>
    <w:rsid w:val="05F1098E"/>
    <w:rsid w:val="444D5C55"/>
    <w:rsid w:val="565C6290"/>
    <w:rsid w:val="7A7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2019-10-24T01:23:00Z</dcterms:created>
  <dc:creator>Administrator</dc:creator>
  <cp:lastModifiedBy>田冲1408581011</cp:lastModifiedBy>
  <dcterms:modified xsi:type="dcterms:W3CDTF">2019-10-28T01:15:29Z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