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BB34" w14:textId="77777777" w:rsidR="00287F8E" w:rsidRPr="008F7BC5" w:rsidRDefault="00000000">
      <w:pPr>
        <w:spacing w:before="55" w:line="224" w:lineRule="auto"/>
        <w:ind w:left="58"/>
        <w:rPr>
          <w:rFonts w:ascii="黑体" w:eastAsia="黑体" w:hAnsi="黑体" w:cs="黑体" w:hint="eastAsia"/>
          <w:sz w:val="20"/>
          <w:szCs w:val="20"/>
          <w:lang w:eastAsia="zh-CN"/>
        </w:rPr>
      </w:pPr>
      <w:r w:rsidRPr="008F7BC5">
        <w:rPr>
          <w:rFonts w:ascii="黑体" w:eastAsia="黑体" w:hAnsi="黑体" w:cs="黑体"/>
          <w:b/>
          <w:bCs/>
          <w:spacing w:val="1"/>
          <w:sz w:val="20"/>
          <w:szCs w:val="20"/>
          <w:lang w:eastAsia="zh-CN"/>
        </w:rPr>
        <w:t>附件1</w:t>
      </w:r>
    </w:p>
    <w:p w14:paraId="7BDA6CD7" w14:textId="77777777" w:rsidR="00287F8E" w:rsidRPr="008F7BC5" w:rsidRDefault="00000000">
      <w:pPr>
        <w:spacing w:before="19" w:line="219" w:lineRule="auto"/>
        <w:ind w:left="2920"/>
        <w:rPr>
          <w:rFonts w:ascii="宋体" w:eastAsia="宋体" w:hAnsi="宋体" w:cs="宋体" w:hint="eastAsia"/>
          <w:sz w:val="28"/>
          <w:szCs w:val="28"/>
          <w:lang w:eastAsia="zh-CN"/>
        </w:rPr>
      </w:pPr>
      <w:r w:rsidRPr="008F7BC5">
        <w:rPr>
          <w:rFonts w:ascii="宋体" w:eastAsia="宋体" w:hAnsi="宋体" w:cs="宋体"/>
          <w:b/>
          <w:bCs/>
          <w:spacing w:val="-1"/>
          <w:sz w:val="28"/>
          <w:szCs w:val="28"/>
          <w:lang w:eastAsia="zh-CN"/>
        </w:rPr>
        <w:t>2025年河南省体育局体育课题研究项目</w:t>
      </w:r>
      <w:r w:rsidRPr="008F7BC5">
        <w:rPr>
          <w:rFonts w:ascii="宋体" w:eastAsia="宋体" w:hAnsi="宋体" w:cs="宋体"/>
          <w:b/>
          <w:bCs/>
          <w:spacing w:val="-2"/>
          <w:sz w:val="28"/>
          <w:szCs w:val="28"/>
          <w:lang w:eastAsia="zh-CN"/>
        </w:rPr>
        <w:t>指南</w:t>
      </w:r>
    </w:p>
    <w:p w14:paraId="058E61BB" w14:textId="77777777" w:rsidR="00287F8E" w:rsidRPr="008F7BC5" w:rsidRDefault="00000000">
      <w:pPr>
        <w:spacing w:before="221" w:line="222" w:lineRule="auto"/>
        <w:ind w:left="5109"/>
        <w:outlineLvl w:val="2"/>
        <w:rPr>
          <w:rFonts w:ascii="黑体" w:eastAsia="黑体" w:hAnsi="黑体" w:cs="黑体" w:hint="eastAsia"/>
        </w:rPr>
      </w:pPr>
      <w:r w:rsidRPr="008F7BC5">
        <w:rPr>
          <w:rFonts w:ascii="黑体" w:eastAsia="黑体" w:hAnsi="黑体" w:cs="黑体"/>
          <w:b/>
          <w:bCs/>
          <w:spacing w:val="4"/>
        </w:rPr>
        <w:t>一、科技攻关项目(1个)</w:t>
      </w:r>
    </w:p>
    <w:p w14:paraId="4247EC85" w14:textId="77777777" w:rsidR="00287F8E" w:rsidRPr="008F7BC5" w:rsidRDefault="00287F8E">
      <w:pPr>
        <w:spacing w:line="55" w:lineRule="exact"/>
        <w:rPr>
          <w:sz w:val="15"/>
          <w:szCs w:val="15"/>
        </w:rPr>
      </w:pPr>
    </w:p>
    <w:tbl>
      <w:tblPr>
        <w:tblStyle w:val="TableNormal"/>
        <w:tblW w:w="13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307"/>
        <w:gridCol w:w="7104"/>
        <w:gridCol w:w="1454"/>
      </w:tblGrid>
      <w:tr w:rsidR="00287F8E" w:rsidRPr="008F7BC5" w14:paraId="6293B08F" w14:textId="77777777">
        <w:trPr>
          <w:trHeight w:val="571"/>
        </w:trPr>
        <w:tc>
          <w:tcPr>
            <w:tcW w:w="764" w:type="dxa"/>
          </w:tcPr>
          <w:p w14:paraId="5C497CE3" w14:textId="77777777" w:rsidR="00287F8E" w:rsidRPr="008F7BC5" w:rsidRDefault="00000000">
            <w:pPr>
              <w:pStyle w:val="TableText"/>
              <w:spacing w:before="172" w:line="221" w:lineRule="auto"/>
              <w:ind w:left="148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4307" w:type="dxa"/>
          </w:tcPr>
          <w:p w14:paraId="0A48F0C0" w14:textId="77777777" w:rsidR="00287F8E" w:rsidRPr="008F7BC5" w:rsidRDefault="00000000">
            <w:pPr>
              <w:pStyle w:val="TableText"/>
              <w:spacing w:before="174" w:line="221" w:lineRule="auto"/>
              <w:ind w:left="1694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4"/>
                <w:sz w:val="18"/>
                <w:szCs w:val="18"/>
              </w:rPr>
              <w:t>选题名称</w:t>
            </w:r>
          </w:p>
        </w:tc>
        <w:tc>
          <w:tcPr>
            <w:tcW w:w="7104" w:type="dxa"/>
          </w:tcPr>
          <w:p w14:paraId="2B48B8E3" w14:textId="77777777" w:rsidR="00287F8E" w:rsidRPr="008F7BC5" w:rsidRDefault="00000000">
            <w:pPr>
              <w:pStyle w:val="TableText"/>
              <w:spacing w:before="169" w:line="219" w:lineRule="auto"/>
              <w:ind w:left="3087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1"/>
                <w:sz w:val="18"/>
                <w:szCs w:val="18"/>
              </w:rPr>
              <w:t>研究重点</w:t>
            </w:r>
          </w:p>
        </w:tc>
        <w:tc>
          <w:tcPr>
            <w:tcW w:w="1454" w:type="dxa"/>
          </w:tcPr>
          <w:p w14:paraId="1FE9ACB7" w14:textId="77777777" w:rsidR="00287F8E" w:rsidRPr="008F7BC5" w:rsidRDefault="00000000">
            <w:pPr>
              <w:pStyle w:val="TableText"/>
              <w:spacing w:before="50" w:line="205" w:lineRule="auto"/>
              <w:ind w:left="262" w:right="153" w:hanging="109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项目承接人</w:t>
            </w:r>
            <w:r w:rsidRPr="008F7BC5">
              <w:rPr>
                <w:sz w:val="18"/>
                <w:szCs w:val="18"/>
              </w:rPr>
              <w:t xml:space="preserve"> </w:t>
            </w:r>
            <w:r w:rsidRPr="008F7BC5">
              <w:rPr>
                <w:b/>
                <w:bCs/>
                <w:spacing w:val="-5"/>
                <w:sz w:val="18"/>
                <w:szCs w:val="18"/>
              </w:rPr>
              <w:t>确定方式</w:t>
            </w:r>
          </w:p>
        </w:tc>
      </w:tr>
      <w:tr w:rsidR="00287F8E" w:rsidRPr="008F7BC5" w14:paraId="3487BDA6" w14:textId="77777777">
        <w:trPr>
          <w:trHeight w:val="822"/>
        </w:trPr>
        <w:tc>
          <w:tcPr>
            <w:tcW w:w="764" w:type="dxa"/>
          </w:tcPr>
          <w:p w14:paraId="56E9541C" w14:textId="77777777" w:rsidR="00287F8E" w:rsidRPr="008F7BC5" w:rsidRDefault="00287F8E">
            <w:pPr>
              <w:spacing w:line="250" w:lineRule="auto"/>
              <w:rPr>
                <w:sz w:val="15"/>
                <w:szCs w:val="15"/>
              </w:rPr>
            </w:pPr>
          </w:p>
          <w:p w14:paraId="504CA12B" w14:textId="77777777" w:rsidR="00287F8E" w:rsidRPr="008F7BC5" w:rsidRDefault="00000000">
            <w:pPr>
              <w:pStyle w:val="TableText"/>
              <w:spacing w:before="75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1</w:t>
            </w:r>
          </w:p>
        </w:tc>
        <w:tc>
          <w:tcPr>
            <w:tcW w:w="4307" w:type="dxa"/>
          </w:tcPr>
          <w:p w14:paraId="26CFD726" w14:textId="77777777" w:rsidR="00287F8E" w:rsidRPr="008F7BC5" w:rsidRDefault="00000000">
            <w:pPr>
              <w:pStyle w:val="TableText"/>
              <w:spacing w:before="200" w:line="226" w:lineRule="auto"/>
              <w:ind w:left="14" w:right="12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b/>
                <w:bCs/>
                <w:spacing w:val="-2"/>
                <w:sz w:val="18"/>
                <w:szCs w:val="18"/>
                <w:lang w:eastAsia="zh-CN"/>
              </w:rPr>
              <w:t>河南省优势运动项目冠军模型构建与运用</w:t>
            </w:r>
            <w:r w:rsidRPr="008F7BC5"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b/>
                <w:bCs/>
                <w:spacing w:val="-5"/>
                <w:sz w:val="18"/>
                <w:szCs w:val="18"/>
                <w:lang w:eastAsia="zh-CN"/>
              </w:rPr>
              <w:t>研究</w:t>
            </w:r>
          </w:p>
        </w:tc>
        <w:tc>
          <w:tcPr>
            <w:tcW w:w="7104" w:type="dxa"/>
          </w:tcPr>
          <w:p w14:paraId="0E7D8F32" w14:textId="77777777" w:rsidR="00287F8E" w:rsidRPr="008F7BC5" w:rsidRDefault="00000000">
            <w:pPr>
              <w:pStyle w:val="TableText"/>
              <w:spacing w:before="30" w:line="209" w:lineRule="auto"/>
              <w:ind w:left="43" w:hanging="1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基于AI挖掘世界优秀运动员竞技能力与身体形态、身体机能、运动素质</w:t>
            </w:r>
            <w:r w:rsidRPr="008F7BC5"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、动作技术特征。建立评估模型，对比分析河南省队优势送动项目情</w:t>
            </w:r>
            <w:r w:rsidRPr="008F7BC5">
              <w:rPr>
                <w:spacing w:val="1"/>
                <w:sz w:val="18"/>
                <w:szCs w:val="18"/>
                <w:lang w:eastAsia="zh-CN"/>
              </w:rPr>
              <w:t xml:space="preserve"> 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况，指导河南省运动员的选材与训练。</w:t>
            </w:r>
          </w:p>
        </w:tc>
        <w:tc>
          <w:tcPr>
            <w:tcW w:w="1454" w:type="dxa"/>
          </w:tcPr>
          <w:p w14:paraId="01EB2219" w14:textId="77777777" w:rsidR="00287F8E" w:rsidRPr="008F7BC5" w:rsidRDefault="00000000">
            <w:pPr>
              <w:pStyle w:val="TableText"/>
              <w:spacing w:before="300" w:line="219" w:lineRule="auto"/>
              <w:ind w:left="153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竞争性申报</w:t>
            </w:r>
          </w:p>
        </w:tc>
      </w:tr>
    </w:tbl>
    <w:p w14:paraId="5683555C" w14:textId="77777777" w:rsidR="00287F8E" w:rsidRPr="008F7BC5" w:rsidRDefault="00000000">
      <w:pPr>
        <w:spacing w:before="188" w:line="222" w:lineRule="auto"/>
        <w:ind w:left="5399"/>
        <w:outlineLvl w:val="2"/>
        <w:rPr>
          <w:rFonts w:ascii="黑体" w:eastAsia="黑体" w:hAnsi="黑体" w:cs="黑体" w:hint="eastAsia"/>
        </w:rPr>
      </w:pPr>
      <w:r w:rsidRPr="008F7BC5">
        <w:rPr>
          <w:rFonts w:ascii="黑体" w:eastAsia="黑体" w:hAnsi="黑体" w:cs="黑体"/>
          <w:b/>
          <w:bCs/>
          <w:spacing w:val="10"/>
        </w:rPr>
        <w:t>二、重点项目(7个)</w:t>
      </w:r>
    </w:p>
    <w:p w14:paraId="076E82EA" w14:textId="77777777" w:rsidR="00287F8E" w:rsidRPr="008F7BC5" w:rsidRDefault="00287F8E">
      <w:pPr>
        <w:spacing w:line="96" w:lineRule="exact"/>
        <w:rPr>
          <w:sz w:val="15"/>
          <w:szCs w:val="15"/>
        </w:rPr>
      </w:pPr>
    </w:p>
    <w:tbl>
      <w:tblPr>
        <w:tblStyle w:val="TableNormal"/>
        <w:tblW w:w="13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97"/>
        <w:gridCol w:w="7094"/>
        <w:gridCol w:w="1454"/>
      </w:tblGrid>
      <w:tr w:rsidR="00287F8E" w:rsidRPr="008F7BC5" w14:paraId="392CA675" w14:textId="77777777">
        <w:trPr>
          <w:trHeight w:val="544"/>
        </w:trPr>
        <w:tc>
          <w:tcPr>
            <w:tcW w:w="764" w:type="dxa"/>
          </w:tcPr>
          <w:p w14:paraId="35A11257" w14:textId="77777777" w:rsidR="00287F8E" w:rsidRPr="008F7BC5" w:rsidRDefault="00000000">
            <w:pPr>
              <w:pStyle w:val="TableText"/>
              <w:spacing w:before="162" w:line="221" w:lineRule="auto"/>
              <w:ind w:left="148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4297" w:type="dxa"/>
          </w:tcPr>
          <w:p w14:paraId="7F496A72" w14:textId="77777777" w:rsidR="00287F8E" w:rsidRPr="008F7BC5" w:rsidRDefault="00000000">
            <w:pPr>
              <w:pStyle w:val="TableText"/>
              <w:spacing w:before="164" w:line="221" w:lineRule="auto"/>
              <w:ind w:left="1714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4"/>
                <w:sz w:val="18"/>
                <w:szCs w:val="18"/>
              </w:rPr>
              <w:t>选题名称</w:t>
            </w:r>
          </w:p>
        </w:tc>
        <w:tc>
          <w:tcPr>
            <w:tcW w:w="7094" w:type="dxa"/>
          </w:tcPr>
          <w:p w14:paraId="3E858542" w14:textId="77777777" w:rsidR="00287F8E" w:rsidRPr="008F7BC5" w:rsidRDefault="00000000">
            <w:pPr>
              <w:pStyle w:val="TableText"/>
              <w:spacing w:before="159" w:line="219" w:lineRule="auto"/>
              <w:ind w:left="3087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1"/>
                <w:sz w:val="18"/>
                <w:szCs w:val="18"/>
              </w:rPr>
              <w:t>研究重点</w:t>
            </w:r>
          </w:p>
        </w:tc>
        <w:tc>
          <w:tcPr>
            <w:tcW w:w="1454" w:type="dxa"/>
          </w:tcPr>
          <w:p w14:paraId="235619E8" w14:textId="77777777" w:rsidR="00287F8E" w:rsidRPr="008F7BC5" w:rsidRDefault="00000000">
            <w:pPr>
              <w:pStyle w:val="TableText"/>
              <w:spacing w:before="20" w:line="206" w:lineRule="auto"/>
              <w:ind w:left="263" w:right="153" w:hanging="110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项目承接人</w:t>
            </w:r>
            <w:r w:rsidRPr="008F7BC5">
              <w:rPr>
                <w:sz w:val="18"/>
                <w:szCs w:val="18"/>
              </w:rPr>
              <w:t xml:space="preserve"> </w:t>
            </w:r>
            <w:r w:rsidRPr="008F7BC5">
              <w:rPr>
                <w:b/>
                <w:bCs/>
                <w:spacing w:val="-5"/>
                <w:sz w:val="18"/>
                <w:szCs w:val="18"/>
              </w:rPr>
              <w:t>确定方式</w:t>
            </w:r>
          </w:p>
        </w:tc>
      </w:tr>
      <w:tr w:rsidR="00287F8E" w:rsidRPr="008F7BC5" w14:paraId="73919DA0" w14:textId="77777777">
        <w:trPr>
          <w:trHeight w:val="559"/>
        </w:trPr>
        <w:tc>
          <w:tcPr>
            <w:tcW w:w="764" w:type="dxa"/>
          </w:tcPr>
          <w:p w14:paraId="00FAB3CB" w14:textId="77777777" w:rsidR="00287F8E" w:rsidRPr="008F7BC5" w:rsidRDefault="00000000">
            <w:pPr>
              <w:pStyle w:val="TableText"/>
              <w:spacing w:before="233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1</w:t>
            </w:r>
          </w:p>
        </w:tc>
        <w:tc>
          <w:tcPr>
            <w:tcW w:w="4297" w:type="dxa"/>
          </w:tcPr>
          <w:p w14:paraId="2CD02BB1" w14:textId="77777777" w:rsidR="00287F8E" w:rsidRPr="008F7BC5" w:rsidRDefault="00000000">
            <w:pPr>
              <w:pStyle w:val="TableText"/>
              <w:spacing w:before="80" w:line="188" w:lineRule="auto"/>
              <w:ind w:left="11" w:right="37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1"/>
                <w:sz w:val="18"/>
                <w:szCs w:val="18"/>
                <w:lang w:eastAsia="zh-CN"/>
              </w:rPr>
              <w:t>河南省"十四五"体育发展经验与治理反</w:t>
            </w:r>
            <w:r w:rsidRPr="008F7BC5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4"/>
                <w:sz w:val="18"/>
                <w:szCs w:val="18"/>
                <w:lang w:eastAsia="zh-CN"/>
              </w:rPr>
              <w:t>思研究</w:t>
            </w:r>
          </w:p>
        </w:tc>
        <w:tc>
          <w:tcPr>
            <w:tcW w:w="7094" w:type="dxa"/>
          </w:tcPr>
          <w:p w14:paraId="492900F0" w14:textId="77777777" w:rsidR="00287F8E" w:rsidRPr="008F7BC5" w:rsidRDefault="00000000">
            <w:pPr>
              <w:pStyle w:val="TableText"/>
              <w:spacing w:before="40" w:line="204" w:lineRule="auto"/>
              <w:ind w:left="23" w:hanging="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总结河南省“十四五”期间体育各领域发展经验以及一些代表性事件的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反思，为“十五五”规划研制提供治理借鉴。</w:t>
            </w:r>
          </w:p>
        </w:tc>
        <w:tc>
          <w:tcPr>
            <w:tcW w:w="1454" w:type="dxa"/>
          </w:tcPr>
          <w:p w14:paraId="4515E226" w14:textId="77777777" w:rsidR="00287F8E" w:rsidRPr="008F7BC5" w:rsidRDefault="00000000">
            <w:pPr>
              <w:pStyle w:val="TableText"/>
              <w:spacing w:before="171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0C8BD3FA" w14:textId="77777777">
        <w:trPr>
          <w:trHeight w:val="569"/>
        </w:trPr>
        <w:tc>
          <w:tcPr>
            <w:tcW w:w="764" w:type="dxa"/>
          </w:tcPr>
          <w:p w14:paraId="3458EA74" w14:textId="77777777" w:rsidR="00287F8E" w:rsidRPr="008F7BC5" w:rsidRDefault="00000000">
            <w:pPr>
              <w:pStyle w:val="TableText"/>
              <w:spacing w:before="244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2</w:t>
            </w:r>
          </w:p>
        </w:tc>
        <w:tc>
          <w:tcPr>
            <w:tcW w:w="4297" w:type="dxa"/>
          </w:tcPr>
          <w:p w14:paraId="52272A33" w14:textId="77777777" w:rsidR="00287F8E" w:rsidRPr="008F7BC5" w:rsidRDefault="00000000">
            <w:pPr>
              <w:pStyle w:val="TableText"/>
              <w:spacing w:before="170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河南省“十五五”体育法治规划专题研究</w:t>
            </w:r>
          </w:p>
        </w:tc>
        <w:tc>
          <w:tcPr>
            <w:tcW w:w="7094" w:type="dxa"/>
          </w:tcPr>
          <w:p w14:paraId="438AB9FF" w14:textId="77777777" w:rsidR="00287F8E" w:rsidRPr="008F7BC5" w:rsidRDefault="00000000">
            <w:pPr>
              <w:pStyle w:val="TableText"/>
              <w:spacing w:before="40" w:line="208" w:lineRule="auto"/>
              <w:ind w:left="33" w:hanging="1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研究河南省“十五五”时期体育法治发展面临的形势、任务、工作思路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和政策举措。</w:t>
            </w:r>
          </w:p>
        </w:tc>
        <w:tc>
          <w:tcPr>
            <w:tcW w:w="1454" w:type="dxa"/>
          </w:tcPr>
          <w:p w14:paraId="3C0E52D0" w14:textId="77777777" w:rsidR="00287F8E" w:rsidRPr="008F7BC5" w:rsidRDefault="00000000">
            <w:pPr>
              <w:pStyle w:val="TableText"/>
              <w:spacing w:before="172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630A404E" w14:textId="77777777">
        <w:trPr>
          <w:trHeight w:val="539"/>
        </w:trPr>
        <w:tc>
          <w:tcPr>
            <w:tcW w:w="764" w:type="dxa"/>
          </w:tcPr>
          <w:p w14:paraId="6B4FCC33" w14:textId="77777777" w:rsidR="00287F8E" w:rsidRPr="008F7BC5" w:rsidRDefault="00000000">
            <w:pPr>
              <w:pStyle w:val="TableText"/>
              <w:spacing w:before="224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3</w:t>
            </w:r>
          </w:p>
        </w:tc>
        <w:tc>
          <w:tcPr>
            <w:tcW w:w="4297" w:type="dxa"/>
          </w:tcPr>
          <w:p w14:paraId="6F59AB13" w14:textId="77777777" w:rsidR="00287F8E" w:rsidRPr="008F7BC5" w:rsidRDefault="00000000">
            <w:pPr>
              <w:pStyle w:val="TableText"/>
              <w:spacing w:before="211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河南省“十五五”体育科技规划专题研究</w:t>
            </w:r>
          </w:p>
        </w:tc>
        <w:tc>
          <w:tcPr>
            <w:tcW w:w="7094" w:type="dxa"/>
          </w:tcPr>
          <w:p w14:paraId="5E04DD21" w14:textId="77777777" w:rsidR="00287F8E" w:rsidRPr="008F7BC5" w:rsidRDefault="00000000">
            <w:pPr>
              <w:pStyle w:val="TableText"/>
              <w:spacing w:before="40" w:line="196" w:lineRule="auto"/>
              <w:ind w:left="23" w:hanging="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研究河南省“十五五”时期体育科技发展面临的形势、任务、工作思路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租政策举措。</w:t>
            </w:r>
          </w:p>
        </w:tc>
        <w:tc>
          <w:tcPr>
            <w:tcW w:w="1454" w:type="dxa"/>
          </w:tcPr>
          <w:p w14:paraId="7BA4241C" w14:textId="77777777" w:rsidR="00287F8E" w:rsidRPr="008F7BC5" w:rsidRDefault="00000000">
            <w:pPr>
              <w:pStyle w:val="TableText"/>
              <w:spacing w:before="163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73B41F31" w14:textId="77777777">
        <w:trPr>
          <w:trHeight w:val="559"/>
        </w:trPr>
        <w:tc>
          <w:tcPr>
            <w:tcW w:w="764" w:type="dxa"/>
          </w:tcPr>
          <w:p w14:paraId="1B51CD2D" w14:textId="77777777" w:rsidR="00287F8E" w:rsidRPr="008F7BC5" w:rsidRDefault="00000000">
            <w:pPr>
              <w:pStyle w:val="TableText"/>
              <w:spacing w:before="236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4</w:t>
            </w:r>
          </w:p>
        </w:tc>
        <w:tc>
          <w:tcPr>
            <w:tcW w:w="4297" w:type="dxa"/>
          </w:tcPr>
          <w:p w14:paraId="2C38ECD9" w14:textId="77777777" w:rsidR="00287F8E" w:rsidRPr="008F7BC5" w:rsidRDefault="00000000">
            <w:pPr>
              <w:pStyle w:val="TableText"/>
              <w:spacing w:before="63" w:line="195" w:lineRule="auto"/>
              <w:ind w:left="11" w:right="37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1"/>
                <w:sz w:val="18"/>
                <w:szCs w:val="18"/>
                <w:lang w:eastAsia="zh-CN"/>
              </w:rPr>
              <w:t>河南省"十五五"体育对外交往规划专题</w:t>
            </w:r>
            <w:r w:rsidRPr="008F7BC5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6"/>
                <w:sz w:val="18"/>
                <w:szCs w:val="18"/>
                <w:lang w:eastAsia="zh-CN"/>
              </w:rPr>
              <w:t>研究</w:t>
            </w:r>
          </w:p>
        </w:tc>
        <w:tc>
          <w:tcPr>
            <w:tcW w:w="7094" w:type="dxa"/>
          </w:tcPr>
          <w:p w14:paraId="1EE30ED6" w14:textId="77777777" w:rsidR="00287F8E" w:rsidRPr="008F7BC5" w:rsidRDefault="00000000">
            <w:pPr>
              <w:pStyle w:val="TableText"/>
              <w:spacing w:before="53" w:line="199" w:lineRule="auto"/>
              <w:ind w:left="33" w:hanging="1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研究河南省“十五五”时期体育对外交往发展面临的形势、任务、工作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思路和政策举措。</w:t>
            </w:r>
          </w:p>
        </w:tc>
        <w:tc>
          <w:tcPr>
            <w:tcW w:w="1454" w:type="dxa"/>
          </w:tcPr>
          <w:p w14:paraId="07BCDE98" w14:textId="77777777" w:rsidR="00287F8E" w:rsidRPr="008F7BC5" w:rsidRDefault="00000000">
            <w:pPr>
              <w:pStyle w:val="TableText"/>
              <w:spacing w:before="174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73A4590E" w14:textId="77777777">
        <w:trPr>
          <w:trHeight w:val="839"/>
        </w:trPr>
        <w:tc>
          <w:tcPr>
            <w:tcW w:w="764" w:type="dxa"/>
          </w:tcPr>
          <w:p w14:paraId="601DA0EC" w14:textId="77777777" w:rsidR="00287F8E" w:rsidRPr="008F7BC5" w:rsidRDefault="00287F8E">
            <w:pPr>
              <w:spacing w:line="260" w:lineRule="auto"/>
              <w:rPr>
                <w:sz w:val="15"/>
                <w:szCs w:val="15"/>
              </w:rPr>
            </w:pPr>
          </w:p>
          <w:p w14:paraId="6BB35CF7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5</w:t>
            </w:r>
          </w:p>
        </w:tc>
        <w:tc>
          <w:tcPr>
            <w:tcW w:w="4297" w:type="dxa"/>
          </w:tcPr>
          <w:p w14:paraId="5B026AC3" w14:textId="77777777" w:rsidR="00287F8E" w:rsidRPr="008F7BC5" w:rsidRDefault="00000000">
            <w:pPr>
              <w:pStyle w:val="TableText"/>
              <w:spacing w:before="313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河南省体育人才发展建设研究</w:t>
            </w:r>
          </w:p>
        </w:tc>
        <w:tc>
          <w:tcPr>
            <w:tcW w:w="7094" w:type="dxa"/>
          </w:tcPr>
          <w:p w14:paraId="06C69E93" w14:textId="77777777" w:rsidR="00287F8E" w:rsidRPr="008F7BC5" w:rsidRDefault="00000000">
            <w:pPr>
              <w:pStyle w:val="TableText"/>
              <w:spacing w:before="44" w:line="210" w:lineRule="auto"/>
              <w:ind w:left="14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研究提出河南省在体育人才培养、引进、评价、激励、保障等关键环节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的工作思路、创新举措，为体育人才中长期发展的政策制定提供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参考借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鉴。</w:t>
            </w:r>
          </w:p>
        </w:tc>
        <w:tc>
          <w:tcPr>
            <w:tcW w:w="1454" w:type="dxa"/>
          </w:tcPr>
          <w:p w14:paraId="0CBE17D1" w14:textId="77777777" w:rsidR="00287F8E" w:rsidRPr="008F7BC5" w:rsidRDefault="00000000">
            <w:pPr>
              <w:pStyle w:val="TableText"/>
              <w:spacing w:before="315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20E5A6A7" w14:textId="77777777">
        <w:trPr>
          <w:trHeight w:val="1607"/>
        </w:trPr>
        <w:tc>
          <w:tcPr>
            <w:tcW w:w="764" w:type="dxa"/>
          </w:tcPr>
          <w:p w14:paraId="02F96DC5" w14:textId="77777777" w:rsidR="00287F8E" w:rsidRPr="008F7BC5" w:rsidRDefault="00287F8E">
            <w:pPr>
              <w:spacing w:line="319" w:lineRule="auto"/>
              <w:rPr>
                <w:sz w:val="15"/>
                <w:szCs w:val="15"/>
              </w:rPr>
            </w:pPr>
          </w:p>
          <w:p w14:paraId="35F4BF76" w14:textId="77777777" w:rsidR="00287F8E" w:rsidRPr="008F7BC5" w:rsidRDefault="00287F8E">
            <w:pPr>
              <w:spacing w:line="320" w:lineRule="auto"/>
              <w:rPr>
                <w:sz w:val="15"/>
                <w:szCs w:val="15"/>
              </w:rPr>
            </w:pPr>
          </w:p>
          <w:p w14:paraId="0961E1BF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6</w:t>
            </w:r>
          </w:p>
        </w:tc>
        <w:tc>
          <w:tcPr>
            <w:tcW w:w="4297" w:type="dxa"/>
          </w:tcPr>
          <w:p w14:paraId="0B1E18A2" w14:textId="77777777" w:rsidR="00287F8E" w:rsidRPr="008F7BC5" w:rsidRDefault="00287F8E">
            <w:pPr>
              <w:spacing w:line="307" w:lineRule="auto"/>
              <w:rPr>
                <w:sz w:val="15"/>
                <w:szCs w:val="15"/>
                <w:lang w:eastAsia="zh-CN"/>
              </w:rPr>
            </w:pPr>
          </w:p>
          <w:p w14:paraId="1CA3B3D4" w14:textId="77777777" w:rsidR="00287F8E" w:rsidRPr="008F7BC5" w:rsidRDefault="00287F8E">
            <w:pPr>
              <w:spacing w:line="308" w:lineRule="auto"/>
              <w:rPr>
                <w:sz w:val="15"/>
                <w:szCs w:val="15"/>
                <w:lang w:eastAsia="zh-CN"/>
              </w:rPr>
            </w:pPr>
          </w:p>
          <w:p w14:paraId="4F368F9A" w14:textId="77777777" w:rsidR="00287F8E" w:rsidRPr="008F7BC5" w:rsidRDefault="00000000">
            <w:pPr>
              <w:pStyle w:val="TableText"/>
              <w:spacing w:before="75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河南省太极拳海外传播指数研究</w:t>
            </w:r>
          </w:p>
        </w:tc>
        <w:tc>
          <w:tcPr>
            <w:tcW w:w="7094" w:type="dxa"/>
          </w:tcPr>
          <w:p w14:paraId="7B2FDAA3" w14:textId="77777777" w:rsidR="00287F8E" w:rsidRPr="008F7BC5" w:rsidRDefault="00287F8E">
            <w:pPr>
              <w:spacing w:line="258" w:lineRule="auto"/>
              <w:rPr>
                <w:sz w:val="15"/>
                <w:szCs w:val="15"/>
                <w:lang w:eastAsia="zh-CN"/>
              </w:rPr>
            </w:pPr>
          </w:p>
          <w:p w14:paraId="75E39B4B" w14:textId="77777777" w:rsidR="00287F8E" w:rsidRPr="008F7BC5" w:rsidRDefault="00000000">
            <w:pPr>
              <w:pStyle w:val="TableText"/>
              <w:spacing w:before="74" w:line="231" w:lineRule="auto"/>
              <w:ind w:left="14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太极拳海外传搐在提升河南及中国整体国际形象、激发民族自豪感、助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力地方经济发展及培养国际化人才方面，发挥着举足轻重的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作用。通过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对传插指数研究，全面洞察太极拳的海外传播动态，为推进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其国际化进</w:t>
            </w:r>
            <w:r w:rsidRPr="008F7BC5">
              <w:rPr>
                <w:sz w:val="18"/>
                <w:szCs w:val="18"/>
                <w:lang w:eastAsia="zh-CN"/>
              </w:rPr>
              <w:t xml:space="preserve"> 程、深化文化交流提供坚实的数据基石与有力支撑。</w:t>
            </w:r>
          </w:p>
        </w:tc>
        <w:tc>
          <w:tcPr>
            <w:tcW w:w="1454" w:type="dxa"/>
          </w:tcPr>
          <w:p w14:paraId="37C984A8" w14:textId="77777777" w:rsidR="00287F8E" w:rsidRPr="008F7BC5" w:rsidRDefault="00287F8E">
            <w:pPr>
              <w:spacing w:line="309" w:lineRule="auto"/>
              <w:rPr>
                <w:sz w:val="15"/>
                <w:szCs w:val="15"/>
                <w:lang w:eastAsia="zh-CN"/>
              </w:rPr>
            </w:pPr>
          </w:p>
          <w:p w14:paraId="48F2F6F9" w14:textId="77777777" w:rsidR="00287F8E" w:rsidRPr="008F7BC5" w:rsidRDefault="00287F8E">
            <w:pPr>
              <w:spacing w:line="309" w:lineRule="auto"/>
              <w:rPr>
                <w:sz w:val="15"/>
                <w:szCs w:val="15"/>
                <w:lang w:eastAsia="zh-CN"/>
              </w:rPr>
            </w:pPr>
          </w:p>
          <w:p w14:paraId="2BF99569" w14:textId="77777777" w:rsidR="00287F8E" w:rsidRPr="008F7BC5" w:rsidRDefault="00000000">
            <w:pPr>
              <w:pStyle w:val="TableText"/>
              <w:spacing w:before="75" w:line="221" w:lineRule="auto"/>
              <w:ind w:left="4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3"/>
                <w:sz w:val="18"/>
                <w:szCs w:val="18"/>
              </w:rPr>
              <w:t>委托</w:t>
            </w:r>
          </w:p>
        </w:tc>
      </w:tr>
      <w:tr w:rsidR="00287F8E" w:rsidRPr="008F7BC5" w14:paraId="182F0530" w14:textId="77777777">
        <w:trPr>
          <w:trHeight w:val="834"/>
        </w:trPr>
        <w:tc>
          <w:tcPr>
            <w:tcW w:w="764" w:type="dxa"/>
          </w:tcPr>
          <w:p w14:paraId="25370F6A" w14:textId="77777777" w:rsidR="00287F8E" w:rsidRPr="008F7BC5" w:rsidRDefault="00287F8E">
            <w:pPr>
              <w:spacing w:line="254" w:lineRule="auto"/>
              <w:rPr>
                <w:sz w:val="15"/>
                <w:szCs w:val="15"/>
              </w:rPr>
            </w:pPr>
          </w:p>
          <w:p w14:paraId="4C571891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7</w:t>
            </w:r>
          </w:p>
        </w:tc>
        <w:tc>
          <w:tcPr>
            <w:tcW w:w="4297" w:type="dxa"/>
          </w:tcPr>
          <w:p w14:paraId="44566252" w14:textId="77777777" w:rsidR="00287F8E" w:rsidRPr="008F7BC5" w:rsidRDefault="00000000">
            <w:pPr>
              <w:pStyle w:val="TableText"/>
              <w:spacing w:before="198" w:line="250" w:lineRule="auto"/>
              <w:ind w:left="11" w:right="14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1"/>
                <w:sz w:val="18"/>
                <w:szCs w:val="18"/>
                <w:lang w:eastAsia="zh-CN"/>
              </w:rPr>
              <w:t>针灸联合运动康复技术协同效应治疗缓解</w:t>
            </w:r>
            <w:r w:rsidRPr="008F7BC5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2"/>
                <w:sz w:val="18"/>
                <w:szCs w:val="18"/>
                <w:lang w:eastAsia="zh-CN"/>
              </w:rPr>
              <w:t>运动损伤研究</w:t>
            </w:r>
          </w:p>
        </w:tc>
        <w:tc>
          <w:tcPr>
            <w:tcW w:w="7094" w:type="dxa"/>
          </w:tcPr>
          <w:p w14:paraId="4106AFFE" w14:textId="77777777" w:rsidR="00287F8E" w:rsidRPr="008F7BC5" w:rsidRDefault="00000000">
            <w:pPr>
              <w:pStyle w:val="TableText"/>
              <w:spacing w:before="87" w:line="197" w:lineRule="auto"/>
              <w:ind w:left="14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发挥中医促进组织修复、缓解疼痛及功能恢复方面具有独特优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势，通过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探索治疗干预运动损伤的关键技术，为提升运动员竞技寿命提供理论依</w:t>
            </w:r>
            <w:r w:rsidRPr="008F7BC5">
              <w:rPr>
                <w:sz w:val="18"/>
                <w:szCs w:val="18"/>
                <w:lang w:eastAsia="zh-CN"/>
              </w:rPr>
              <w:t xml:space="preserve"> 据和实践参考。</w:t>
            </w:r>
          </w:p>
        </w:tc>
        <w:tc>
          <w:tcPr>
            <w:tcW w:w="1454" w:type="dxa"/>
          </w:tcPr>
          <w:p w14:paraId="389A72B3" w14:textId="77777777" w:rsidR="00287F8E" w:rsidRPr="008F7BC5" w:rsidRDefault="00000000">
            <w:pPr>
              <w:pStyle w:val="TableText"/>
              <w:spacing w:before="308" w:line="219" w:lineRule="auto"/>
              <w:ind w:left="15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</w:tbl>
    <w:p w14:paraId="5EE6B2D7" w14:textId="77777777" w:rsidR="00287F8E" w:rsidRPr="008F7BC5" w:rsidRDefault="00000000">
      <w:pPr>
        <w:spacing w:before="341" w:line="221" w:lineRule="auto"/>
        <w:ind w:left="5329"/>
        <w:outlineLvl w:val="2"/>
        <w:rPr>
          <w:rFonts w:ascii="黑体" w:eastAsia="黑体" w:hAnsi="黑体" w:cs="黑体" w:hint="eastAsia"/>
        </w:rPr>
      </w:pPr>
      <w:r w:rsidRPr="008F7BC5">
        <w:rPr>
          <w:rFonts w:ascii="黑体" w:eastAsia="黑体" w:hAnsi="黑体" w:cs="黑体"/>
          <w:b/>
          <w:bCs/>
          <w:spacing w:val="8"/>
        </w:rPr>
        <w:t>三、一般项目(10个)</w:t>
      </w:r>
    </w:p>
    <w:p w14:paraId="5367C8FB" w14:textId="77777777" w:rsidR="00287F8E" w:rsidRPr="008F7BC5" w:rsidRDefault="00287F8E">
      <w:pPr>
        <w:spacing w:line="108" w:lineRule="exact"/>
        <w:rPr>
          <w:sz w:val="15"/>
          <w:szCs w:val="15"/>
        </w:rPr>
      </w:pPr>
    </w:p>
    <w:tbl>
      <w:tblPr>
        <w:tblStyle w:val="TableNormal"/>
        <w:tblW w:w="136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277"/>
        <w:gridCol w:w="7114"/>
        <w:gridCol w:w="1454"/>
      </w:tblGrid>
      <w:tr w:rsidR="00287F8E" w:rsidRPr="008F7BC5" w14:paraId="286825C5" w14:textId="77777777">
        <w:trPr>
          <w:trHeight w:val="544"/>
        </w:trPr>
        <w:tc>
          <w:tcPr>
            <w:tcW w:w="764" w:type="dxa"/>
          </w:tcPr>
          <w:p w14:paraId="4F962E15" w14:textId="77777777" w:rsidR="00287F8E" w:rsidRPr="008F7BC5" w:rsidRDefault="00000000">
            <w:pPr>
              <w:pStyle w:val="TableText"/>
              <w:spacing w:before="162" w:line="221" w:lineRule="auto"/>
              <w:ind w:left="148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序号</w:t>
            </w:r>
          </w:p>
        </w:tc>
        <w:tc>
          <w:tcPr>
            <w:tcW w:w="4277" w:type="dxa"/>
          </w:tcPr>
          <w:p w14:paraId="4F72C0DB" w14:textId="77777777" w:rsidR="00287F8E" w:rsidRPr="008F7BC5" w:rsidRDefault="00000000">
            <w:pPr>
              <w:pStyle w:val="TableText"/>
              <w:spacing w:before="164" w:line="221" w:lineRule="auto"/>
              <w:ind w:left="1714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4"/>
                <w:sz w:val="18"/>
                <w:szCs w:val="18"/>
              </w:rPr>
              <w:t>选题名称</w:t>
            </w:r>
          </w:p>
        </w:tc>
        <w:tc>
          <w:tcPr>
            <w:tcW w:w="7114" w:type="dxa"/>
          </w:tcPr>
          <w:p w14:paraId="005D7A9D" w14:textId="77777777" w:rsidR="00287F8E" w:rsidRPr="008F7BC5" w:rsidRDefault="00000000">
            <w:pPr>
              <w:pStyle w:val="TableText"/>
              <w:spacing w:before="159" w:line="219" w:lineRule="auto"/>
              <w:ind w:left="3137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1"/>
                <w:sz w:val="18"/>
                <w:szCs w:val="18"/>
              </w:rPr>
              <w:t>研究重点</w:t>
            </w:r>
          </w:p>
        </w:tc>
        <w:tc>
          <w:tcPr>
            <w:tcW w:w="1454" w:type="dxa"/>
          </w:tcPr>
          <w:p w14:paraId="1D357F7A" w14:textId="77777777" w:rsidR="00287F8E" w:rsidRPr="008F7BC5" w:rsidRDefault="00000000">
            <w:pPr>
              <w:pStyle w:val="TableText"/>
              <w:spacing w:before="50" w:line="194" w:lineRule="auto"/>
              <w:ind w:left="302" w:right="113" w:hanging="109"/>
              <w:rPr>
                <w:rFonts w:hint="eastAsia"/>
                <w:sz w:val="18"/>
                <w:szCs w:val="18"/>
              </w:rPr>
            </w:pPr>
            <w:r w:rsidRPr="008F7BC5">
              <w:rPr>
                <w:b/>
                <w:bCs/>
                <w:spacing w:val="-5"/>
                <w:sz w:val="18"/>
                <w:szCs w:val="18"/>
              </w:rPr>
              <w:t>项目承接人</w:t>
            </w:r>
            <w:r w:rsidRPr="008F7BC5">
              <w:rPr>
                <w:sz w:val="18"/>
                <w:szCs w:val="18"/>
              </w:rPr>
              <w:t xml:space="preserve"> </w:t>
            </w:r>
            <w:r w:rsidRPr="008F7BC5">
              <w:rPr>
                <w:b/>
                <w:bCs/>
                <w:spacing w:val="-5"/>
                <w:sz w:val="18"/>
                <w:szCs w:val="18"/>
              </w:rPr>
              <w:t>确定方式</w:t>
            </w:r>
          </w:p>
        </w:tc>
      </w:tr>
      <w:tr w:rsidR="00287F8E" w:rsidRPr="008F7BC5" w14:paraId="3CD0FCE2" w14:textId="77777777">
        <w:trPr>
          <w:trHeight w:val="559"/>
        </w:trPr>
        <w:tc>
          <w:tcPr>
            <w:tcW w:w="764" w:type="dxa"/>
          </w:tcPr>
          <w:p w14:paraId="3E7DAC24" w14:textId="77777777" w:rsidR="00287F8E" w:rsidRPr="008F7BC5" w:rsidRDefault="00000000">
            <w:pPr>
              <w:pStyle w:val="TableText"/>
              <w:spacing w:before="193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1</w:t>
            </w:r>
          </w:p>
        </w:tc>
        <w:tc>
          <w:tcPr>
            <w:tcW w:w="4277" w:type="dxa"/>
          </w:tcPr>
          <w:p w14:paraId="7641B60B" w14:textId="77777777" w:rsidR="00287F8E" w:rsidRPr="008F7BC5" w:rsidRDefault="00000000">
            <w:pPr>
              <w:pStyle w:val="TableText"/>
              <w:spacing w:before="168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河南省三大球省级专业队发展路径研究</w:t>
            </w:r>
          </w:p>
        </w:tc>
        <w:tc>
          <w:tcPr>
            <w:tcW w:w="7114" w:type="dxa"/>
          </w:tcPr>
          <w:p w14:paraId="51F1C373" w14:textId="77777777" w:rsidR="00287F8E" w:rsidRPr="008F7BC5" w:rsidRDefault="00000000">
            <w:pPr>
              <w:pStyle w:val="TableText"/>
              <w:spacing w:before="50" w:line="200" w:lineRule="auto"/>
              <w:ind w:left="24" w:firstLine="1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分析我省三大球专业队发展现状，探索具有河南特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色的三大球专业队发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展路径。</w:t>
            </w:r>
          </w:p>
        </w:tc>
        <w:tc>
          <w:tcPr>
            <w:tcW w:w="1454" w:type="dxa"/>
          </w:tcPr>
          <w:p w14:paraId="42E3EB91" w14:textId="77777777" w:rsidR="00287F8E" w:rsidRPr="008F7BC5" w:rsidRDefault="00000000">
            <w:pPr>
              <w:pStyle w:val="TableText"/>
              <w:spacing w:before="170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0BCF3669" w14:textId="77777777">
        <w:trPr>
          <w:trHeight w:val="1119"/>
        </w:trPr>
        <w:tc>
          <w:tcPr>
            <w:tcW w:w="764" w:type="dxa"/>
          </w:tcPr>
          <w:p w14:paraId="38823076" w14:textId="77777777" w:rsidR="00287F8E" w:rsidRPr="008F7BC5" w:rsidRDefault="00287F8E">
            <w:pPr>
              <w:spacing w:line="397" w:lineRule="auto"/>
              <w:rPr>
                <w:sz w:val="15"/>
                <w:szCs w:val="15"/>
              </w:rPr>
            </w:pPr>
          </w:p>
          <w:p w14:paraId="7589E7D8" w14:textId="77777777" w:rsidR="00287F8E" w:rsidRPr="008F7BC5" w:rsidRDefault="00000000">
            <w:pPr>
              <w:pStyle w:val="TableText"/>
              <w:spacing w:before="74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2</w:t>
            </w:r>
          </w:p>
        </w:tc>
        <w:tc>
          <w:tcPr>
            <w:tcW w:w="4277" w:type="dxa"/>
          </w:tcPr>
          <w:p w14:paraId="46904686" w14:textId="77777777" w:rsidR="00287F8E" w:rsidRPr="008F7BC5" w:rsidRDefault="00287F8E">
            <w:pPr>
              <w:spacing w:line="255" w:lineRule="auto"/>
              <w:rPr>
                <w:sz w:val="15"/>
                <w:szCs w:val="15"/>
                <w:lang w:eastAsia="zh-CN"/>
              </w:rPr>
            </w:pPr>
          </w:p>
          <w:p w14:paraId="27EE62AA" w14:textId="77777777" w:rsidR="00287F8E" w:rsidRPr="008F7BC5" w:rsidRDefault="00000000">
            <w:pPr>
              <w:pStyle w:val="TableText"/>
              <w:spacing w:before="74" w:line="226" w:lineRule="auto"/>
              <w:ind w:left="11" w:right="12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1"/>
                <w:sz w:val="18"/>
                <w:szCs w:val="18"/>
                <w:lang w:eastAsia="zh-CN"/>
              </w:rPr>
              <w:t>河南省射击运动员选材体系构建、决赛能</w:t>
            </w:r>
            <w:r w:rsidRPr="008F7BC5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2"/>
                <w:sz w:val="18"/>
                <w:szCs w:val="18"/>
                <w:lang w:eastAsia="zh-CN"/>
              </w:rPr>
              <w:t>力提升研究</w:t>
            </w:r>
          </w:p>
        </w:tc>
        <w:tc>
          <w:tcPr>
            <w:tcW w:w="7114" w:type="dxa"/>
          </w:tcPr>
          <w:p w14:paraId="7F4BE161" w14:textId="77777777" w:rsidR="00287F8E" w:rsidRPr="008F7BC5" w:rsidRDefault="00000000">
            <w:pPr>
              <w:pStyle w:val="TableText"/>
              <w:spacing w:before="72" w:line="208" w:lineRule="auto"/>
              <w:ind w:left="33" w:hanging="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通过对射击运动员选材体系深入研究，构建一套科学、全面、实用的射</w:t>
            </w:r>
            <w:r w:rsidRPr="008F7BC5"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击运动员选材评价指标体系，结合运动员的基本技术、基础体能、动作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程序、心理技能、专项体能等提出决赛能力提升策略，为我省射击运动</w:t>
            </w:r>
            <w:r w:rsidRPr="008F7BC5"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z w:val="18"/>
                <w:szCs w:val="18"/>
                <w:lang w:eastAsia="zh-CN"/>
              </w:rPr>
              <w:t>的可持续发展提供理论支撑和实践指导。</w:t>
            </w:r>
          </w:p>
        </w:tc>
        <w:tc>
          <w:tcPr>
            <w:tcW w:w="1454" w:type="dxa"/>
          </w:tcPr>
          <w:p w14:paraId="1D124D56" w14:textId="77777777" w:rsidR="00287F8E" w:rsidRPr="008F7BC5" w:rsidRDefault="00287F8E">
            <w:pPr>
              <w:spacing w:line="374" w:lineRule="auto"/>
              <w:rPr>
                <w:sz w:val="15"/>
                <w:szCs w:val="15"/>
                <w:lang w:eastAsia="zh-CN"/>
              </w:rPr>
            </w:pPr>
          </w:p>
          <w:p w14:paraId="622DA2E6" w14:textId="77777777" w:rsidR="00287F8E" w:rsidRPr="008F7BC5" w:rsidRDefault="00000000">
            <w:pPr>
              <w:pStyle w:val="TableText"/>
              <w:spacing w:before="75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5AB3ABD0" w14:textId="77777777">
        <w:trPr>
          <w:trHeight w:val="839"/>
        </w:trPr>
        <w:tc>
          <w:tcPr>
            <w:tcW w:w="764" w:type="dxa"/>
          </w:tcPr>
          <w:p w14:paraId="2767205B" w14:textId="77777777" w:rsidR="00287F8E" w:rsidRPr="008F7BC5" w:rsidRDefault="00287F8E">
            <w:pPr>
              <w:spacing w:line="258" w:lineRule="auto"/>
              <w:rPr>
                <w:sz w:val="15"/>
                <w:szCs w:val="15"/>
              </w:rPr>
            </w:pPr>
          </w:p>
          <w:p w14:paraId="3A50FE1A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3</w:t>
            </w:r>
          </w:p>
        </w:tc>
        <w:tc>
          <w:tcPr>
            <w:tcW w:w="4277" w:type="dxa"/>
          </w:tcPr>
          <w:p w14:paraId="50310A61" w14:textId="77777777" w:rsidR="00287F8E" w:rsidRPr="008F7BC5" w:rsidRDefault="00000000">
            <w:pPr>
              <w:pStyle w:val="TableText"/>
              <w:spacing w:before="310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河南省青少年体有发展路径研究</w:t>
            </w:r>
          </w:p>
        </w:tc>
        <w:tc>
          <w:tcPr>
            <w:tcW w:w="7114" w:type="dxa"/>
          </w:tcPr>
          <w:p w14:paraId="04680A67" w14:textId="77777777" w:rsidR="00287F8E" w:rsidRPr="008F7BC5" w:rsidRDefault="00000000">
            <w:pPr>
              <w:pStyle w:val="TableText"/>
              <w:spacing w:before="70" w:line="209" w:lineRule="auto"/>
              <w:ind w:left="24" w:firstLine="19"/>
              <w:jc w:val="both"/>
              <w:rPr>
                <w:rFonts w:hint="eastAsia"/>
                <w:sz w:val="16"/>
                <w:szCs w:val="16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以青少年体育优秀人才培养、体校改革、竞赛活动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体系建设、科学健身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7"/>
                <w:sz w:val="16"/>
                <w:szCs w:val="16"/>
                <w:lang w:eastAsia="zh-CN"/>
              </w:rPr>
              <w:t>普及、健康干预等为切入点，全面提高青少年身体素质，让青少年在运</w:t>
            </w:r>
            <w:r w:rsidRPr="008F7BC5">
              <w:rPr>
                <w:spacing w:val="15"/>
                <w:sz w:val="16"/>
                <w:szCs w:val="16"/>
                <w:lang w:eastAsia="zh-CN"/>
              </w:rPr>
              <w:t xml:space="preserve"> </w:t>
            </w:r>
            <w:r w:rsidRPr="008F7BC5">
              <w:rPr>
                <w:spacing w:val="7"/>
                <w:sz w:val="16"/>
                <w:szCs w:val="16"/>
                <w:lang w:eastAsia="zh-CN"/>
              </w:rPr>
              <w:t>动中强意志、健身心，</w:t>
            </w:r>
          </w:p>
        </w:tc>
        <w:tc>
          <w:tcPr>
            <w:tcW w:w="1454" w:type="dxa"/>
          </w:tcPr>
          <w:p w14:paraId="2663B8C2" w14:textId="77777777" w:rsidR="00287F8E" w:rsidRPr="008F7BC5" w:rsidRDefault="00000000">
            <w:pPr>
              <w:pStyle w:val="TableText"/>
              <w:spacing w:before="312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57BFDB69" w14:textId="77777777">
        <w:trPr>
          <w:trHeight w:val="849"/>
        </w:trPr>
        <w:tc>
          <w:tcPr>
            <w:tcW w:w="764" w:type="dxa"/>
          </w:tcPr>
          <w:p w14:paraId="39D33363" w14:textId="77777777" w:rsidR="00287F8E" w:rsidRPr="008F7BC5" w:rsidRDefault="00287F8E">
            <w:pPr>
              <w:spacing w:line="259" w:lineRule="auto"/>
              <w:rPr>
                <w:sz w:val="15"/>
                <w:szCs w:val="15"/>
              </w:rPr>
            </w:pPr>
          </w:p>
          <w:p w14:paraId="76673B39" w14:textId="77777777" w:rsidR="00287F8E" w:rsidRPr="008F7BC5" w:rsidRDefault="00000000">
            <w:pPr>
              <w:pStyle w:val="TableText"/>
              <w:spacing w:before="75" w:line="241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4</w:t>
            </w:r>
          </w:p>
        </w:tc>
        <w:tc>
          <w:tcPr>
            <w:tcW w:w="4277" w:type="dxa"/>
          </w:tcPr>
          <w:p w14:paraId="7157E6E0" w14:textId="77777777" w:rsidR="00287F8E" w:rsidRPr="008F7BC5" w:rsidRDefault="00000000">
            <w:pPr>
              <w:pStyle w:val="TableText"/>
              <w:spacing w:before="311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完善全民健身公共服务体系研究</w:t>
            </w:r>
          </w:p>
        </w:tc>
        <w:tc>
          <w:tcPr>
            <w:tcW w:w="7114" w:type="dxa"/>
          </w:tcPr>
          <w:p w14:paraId="5441123D" w14:textId="77777777" w:rsidR="00287F8E" w:rsidRPr="008F7BC5" w:rsidRDefault="00000000">
            <w:pPr>
              <w:pStyle w:val="TableText"/>
              <w:spacing w:before="42" w:line="213" w:lineRule="auto"/>
              <w:ind w:left="24" w:firstLine="1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田绕完善我省全民健身公共服务体系开展深入研究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，突出全民健身“六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个身边”工程作用发挥，以全民运动健身模范市(县)创建为契机，还</w:t>
            </w:r>
            <w:r w:rsidRPr="008F7BC5">
              <w:rPr>
                <w:spacing w:val="5"/>
                <w:sz w:val="18"/>
                <w:szCs w:val="18"/>
                <w:lang w:eastAsia="zh-CN"/>
              </w:rPr>
              <w:t xml:space="preserve">  </w:t>
            </w:r>
            <w:r w:rsidRPr="008F7BC5">
              <w:rPr>
                <w:sz w:val="18"/>
                <w:szCs w:val="18"/>
                <w:lang w:eastAsia="zh-CN"/>
              </w:rPr>
              <w:t>步推动基本公共体育服务均等化。</w:t>
            </w:r>
          </w:p>
        </w:tc>
        <w:tc>
          <w:tcPr>
            <w:tcW w:w="1454" w:type="dxa"/>
          </w:tcPr>
          <w:p w14:paraId="5F659988" w14:textId="77777777" w:rsidR="00287F8E" w:rsidRPr="008F7BC5" w:rsidRDefault="00000000">
            <w:pPr>
              <w:pStyle w:val="TableText"/>
              <w:spacing w:before="313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00C1C853" w14:textId="77777777">
        <w:trPr>
          <w:trHeight w:val="540"/>
        </w:trPr>
        <w:tc>
          <w:tcPr>
            <w:tcW w:w="764" w:type="dxa"/>
          </w:tcPr>
          <w:p w14:paraId="76511F49" w14:textId="77777777" w:rsidR="00287F8E" w:rsidRPr="008F7BC5" w:rsidRDefault="00000000">
            <w:pPr>
              <w:pStyle w:val="TableText"/>
              <w:spacing w:before="237" w:line="235" w:lineRule="auto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5</w:t>
            </w:r>
          </w:p>
        </w:tc>
        <w:tc>
          <w:tcPr>
            <w:tcW w:w="4277" w:type="dxa"/>
          </w:tcPr>
          <w:p w14:paraId="212A330D" w14:textId="77777777" w:rsidR="00287F8E" w:rsidRPr="008F7BC5" w:rsidRDefault="00000000">
            <w:pPr>
              <w:pStyle w:val="TableText"/>
              <w:spacing w:before="232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体育助力乡村振兴、参与基层治理研究</w:t>
            </w:r>
          </w:p>
        </w:tc>
        <w:tc>
          <w:tcPr>
            <w:tcW w:w="7114" w:type="dxa"/>
          </w:tcPr>
          <w:p w14:paraId="6AF53331" w14:textId="77777777" w:rsidR="00287F8E" w:rsidRPr="008F7BC5" w:rsidRDefault="00000000">
            <w:pPr>
              <w:pStyle w:val="TableText"/>
              <w:spacing w:before="72" w:line="192" w:lineRule="auto"/>
              <w:ind w:left="44"/>
              <w:rPr>
                <w:rFonts w:hint="eastAsia"/>
                <w:sz w:val="16"/>
                <w:szCs w:val="16"/>
                <w:lang w:eastAsia="zh-CN"/>
              </w:rPr>
            </w:pPr>
            <w:r w:rsidRPr="008F7BC5">
              <w:rPr>
                <w:spacing w:val="8"/>
                <w:sz w:val="16"/>
                <w:szCs w:val="16"/>
                <w:lang w:eastAsia="zh-CN"/>
              </w:rPr>
              <w:t>结合河南省情，研究探索体有产业、体育文化、</w:t>
            </w:r>
            <w:r w:rsidRPr="008F7BC5">
              <w:rPr>
                <w:spacing w:val="7"/>
                <w:sz w:val="16"/>
                <w:szCs w:val="16"/>
                <w:lang w:eastAsia="zh-CN"/>
              </w:rPr>
              <w:t>体育赛事、体育组织等</w:t>
            </w:r>
            <w:r w:rsidRPr="008F7BC5">
              <w:rPr>
                <w:sz w:val="16"/>
                <w:szCs w:val="16"/>
                <w:lang w:eastAsia="zh-CN"/>
              </w:rPr>
              <w:t xml:space="preserve"> </w:t>
            </w:r>
            <w:r w:rsidRPr="008F7BC5">
              <w:rPr>
                <w:spacing w:val="9"/>
                <w:sz w:val="16"/>
                <w:szCs w:val="16"/>
                <w:lang w:eastAsia="zh-CN"/>
              </w:rPr>
              <w:t>方面助力乡村振兴、促进基层治理的路径摸式。</w:t>
            </w:r>
          </w:p>
        </w:tc>
        <w:tc>
          <w:tcPr>
            <w:tcW w:w="1454" w:type="dxa"/>
          </w:tcPr>
          <w:p w14:paraId="5BB9C4DA" w14:textId="77777777" w:rsidR="00287F8E" w:rsidRPr="008F7BC5" w:rsidRDefault="00000000">
            <w:pPr>
              <w:pStyle w:val="TableText"/>
              <w:spacing w:before="164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418F10B2" w14:textId="77777777">
        <w:trPr>
          <w:trHeight w:val="839"/>
        </w:trPr>
        <w:tc>
          <w:tcPr>
            <w:tcW w:w="764" w:type="dxa"/>
          </w:tcPr>
          <w:p w14:paraId="252EC590" w14:textId="77777777" w:rsidR="00287F8E" w:rsidRPr="008F7BC5" w:rsidRDefault="00287F8E">
            <w:pPr>
              <w:spacing w:line="260" w:lineRule="auto"/>
              <w:rPr>
                <w:sz w:val="15"/>
                <w:szCs w:val="15"/>
              </w:rPr>
            </w:pPr>
          </w:p>
          <w:p w14:paraId="0E5DDBA4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6</w:t>
            </w:r>
          </w:p>
        </w:tc>
        <w:tc>
          <w:tcPr>
            <w:tcW w:w="4277" w:type="dxa"/>
          </w:tcPr>
          <w:p w14:paraId="41BFD5A4" w14:textId="77777777" w:rsidR="00287F8E" w:rsidRPr="008F7BC5" w:rsidRDefault="00000000">
            <w:pPr>
              <w:pStyle w:val="TableText"/>
              <w:spacing w:before="312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河南省体有产业高质量发展研究</w:t>
            </w:r>
          </w:p>
        </w:tc>
        <w:tc>
          <w:tcPr>
            <w:tcW w:w="7114" w:type="dxa"/>
          </w:tcPr>
          <w:p w14:paraId="7773D977" w14:textId="77777777" w:rsidR="00287F8E" w:rsidRPr="008F7BC5" w:rsidRDefault="00000000">
            <w:pPr>
              <w:pStyle w:val="TableText"/>
              <w:spacing w:before="85" w:line="199" w:lineRule="auto"/>
              <w:ind w:left="24" w:firstLine="1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聚焦我省经济发展对体育产业的新要求，从完善制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度机制、扩大体育消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费、服务市场主体、发展特色产业等方面着手，研究提出推进我省体育</w:t>
            </w:r>
            <w:r w:rsidRPr="008F7BC5"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2"/>
                <w:sz w:val="18"/>
                <w:szCs w:val="18"/>
                <w:lang w:eastAsia="zh-CN"/>
              </w:rPr>
              <w:t>产业高质量发展的措施建议。</w:t>
            </w:r>
          </w:p>
        </w:tc>
        <w:tc>
          <w:tcPr>
            <w:tcW w:w="1454" w:type="dxa"/>
          </w:tcPr>
          <w:p w14:paraId="326AAD82" w14:textId="77777777" w:rsidR="00287F8E" w:rsidRPr="008F7BC5" w:rsidRDefault="00000000">
            <w:pPr>
              <w:pStyle w:val="TableText"/>
              <w:spacing w:before="314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78B5A36A" w14:textId="77777777">
        <w:trPr>
          <w:trHeight w:val="569"/>
        </w:trPr>
        <w:tc>
          <w:tcPr>
            <w:tcW w:w="764" w:type="dxa"/>
          </w:tcPr>
          <w:p w14:paraId="2880468C" w14:textId="77777777" w:rsidR="00287F8E" w:rsidRPr="008F7BC5" w:rsidRDefault="00000000">
            <w:pPr>
              <w:pStyle w:val="TableText"/>
              <w:spacing w:before="197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7</w:t>
            </w:r>
          </w:p>
        </w:tc>
        <w:tc>
          <w:tcPr>
            <w:tcW w:w="4277" w:type="dxa"/>
          </w:tcPr>
          <w:p w14:paraId="5C1F2015" w14:textId="77777777" w:rsidR="00287F8E" w:rsidRPr="008F7BC5" w:rsidRDefault="00000000">
            <w:pPr>
              <w:pStyle w:val="TableText"/>
              <w:spacing w:before="55" w:line="202" w:lineRule="auto"/>
              <w:ind w:left="11" w:right="12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1"/>
                <w:sz w:val="18"/>
                <w:szCs w:val="18"/>
                <w:lang w:eastAsia="zh-CN"/>
              </w:rPr>
              <w:t>河南省体育政务数字化水平现状及提升路</w:t>
            </w:r>
            <w:r w:rsidRPr="008F7BC5"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z w:val="18"/>
                <w:szCs w:val="18"/>
                <w:lang w:eastAsia="zh-CN"/>
              </w:rPr>
              <w:t>径</w:t>
            </w:r>
          </w:p>
        </w:tc>
        <w:tc>
          <w:tcPr>
            <w:tcW w:w="7114" w:type="dxa"/>
          </w:tcPr>
          <w:p w14:paraId="311E9A73" w14:textId="77777777" w:rsidR="00287F8E" w:rsidRPr="008F7BC5" w:rsidRDefault="00000000">
            <w:pPr>
              <w:pStyle w:val="TableText"/>
              <w:spacing w:before="53" w:line="203" w:lineRule="auto"/>
              <w:ind w:left="44" w:firstLine="9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3"/>
                <w:sz w:val="18"/>
                <w:szCs w:val="18"/>
                <w:lang w:eastAsia="zh-CN"/>
              </w:rPr>
              <w:t>通过数字化手段提升体育资源的精准配置能力，推动河南省体育政务从</w:t>
            </w:r>
            <w:r w:rsidRPr="008F7BC5">
              <w:rPr>
                <w:spacing w:val="11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传统管理模式向智能化、场景化服务转型。</w:t>
            </w:r>
          </w:p>
        </w:tc>
        <w:tc>
          <w:tcPr>
            <w:tcW w:w="1454" w:type="dxa"/>
          </w:tcPr>
          <w:p w14:paraId="7E17F8ED" w14:textId="77777777" w:rsidR="00287F8E" w:rsidRPr="008F7BC5" w:rsidRDefault="00000000">
            <w:pPr>
              <w:pStyle w:val="TableText"/>
              <w:spacing w:before="175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67938900" w14:textId="77777777">
        <w:trPr>
          <w:trHeight w:val="839"/>
        </w:trPr>
        <w:tc>
          <w:tcPr>
            <w:tcW w:w="764" w:type="dxa"/>
          </w:tcPr>
          <w:p w14:paraId="6B4B1B82" w14:textId="77777777" w:rsidR="00287F8E" w:rsidRPr="008F7BC5" w:rsidRDefault="00287F8E">
            <w:pPr>
              <w:spacing w:line="262" w:lineRule="auto"/>
              <w:rPr>
                <w:sz w:val="15"/>
                <w:szCs w:val="15"/>
              </w:rPr>
            </w:pPr>
          </w:p>
          <w:p w14:paraId="3B6B29C3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8</w:t>
            </w:r>
          </w:p>
        </w:tc>
        <w:tc>
          <w:tcPr>
            <w:tcW w:w="4277" w:type="dxa"/>
          </w:tcPr>
          <w:p w14:paraId="192DE819" w14:textId="77777777" w:rsidR="00287F8E" w:rsidRPr="008F7BC5" w:rsidRDefault="00000000">
            <w:pPr>
              <w:pStyle w:val="TableText"/>
              <w:spacing w:before="215" w:line="218" w:lineRule="auto"/>
              <w:ind w:left="11" w:right="97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1"/>
                <w:sz w:val="18"/>
                <w:szCs w:val="18"/>
                <w:lang w:eastAsia="zh-CN"/>
              </w:rPr>
              <w:t>河南省优秀运动员药品营养品使用情况调</w:t>
            </w:r>
            <w:r w:rsidRPr="008F7BC5">
              <w:rPr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4"/>
                <w:sz w:val="18"/>
                <w:szCs w:val="18"/>
                <w:lang w:eastAsia="zh-CN"/>
              </w:rPr>
              <w:t>查研究</w:t>
            </w:r>
          </w:p>
        </w:tc>
        <w:tc>
          <w:tcPr>
            <w:tcW w:w="7114" w:type="dxa"/>
          </w:tcPr>
          <w:p w14:paraId="112DBAC9" w14:textId="77777777" w:rsidR="00287F8E" w:rsidRPr="008F7BC5" w:rsidRDefault="00000000">
            <w:pPr>
              <w:pStyle w:val="TableText"/>
              <w:spacing w:before="66" w:line="204" w:lineRule="auto"/>
              <w:ind w:left="44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通过对河南省优秀运动员药品营养品使用情况的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调查，推动运动队加强</w:t>
            </w:r>
            <w:r w:rsidRPr="008F7BC5">
              <w:rPr>
                <w:sz w:val="18"/>
                <w:szCs w:val="18"/>
                <w:lang w:eastAsia="zh-CN"/>
              </w:rPr>
              <w:t xml:space="preserve"> 兴奋剂风险品的安全管控，加强运动员及其辅助人员兴奋剂风险品认</w:t>
            </w:r>
            <w:r w:rsidRPr="008F7BC5">
              <w:rPr>
                <w:spacing w:val="4"/>
                <w:sz w:val="18"/>
                <w:szCs w:val="18"/>
                <w:lang w:eastAsia="zh-CN"/>
              </w:rPr>
              <w:t xml:space="preserve"> 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知，提高整体防范意识和防控能力。</w:t>
            </w:r>
          </w:p>
        </w:tc>
        <w:tc>
          <w:tcPr>
            <w:tcW w:w="1454" w:type="dxa"/>
          </w:tcPr>
          <w:p w14:paraId="2263713C" w14:textId="77777777" w:rsidR="00287F8E" w:rsidRPr="008F7BC5" w:rsidRDefault="00287F8E">
            <w:pPr>
              <w:rPr>
                <w:sz w:val="15"/>
                <w:szCs w:val="15"/>
                <w:lang w:eastAsia="zh-CN"/>
              </w:rPr>
            </w:pPr>
          </w:p>
          <w:p w14:paraId="5BFBD7D2" w14:textId="77777777" w:rsidR="00287F8E" w:rsidRPr="008F7BC5" w:rsidRDefault="00000000">
            <w:pPr>
              <w:pStyle w:val="TableText"/>
              <w:spacing w:before="75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6A2FBA13" w14:textId="77777777">
        <w:trPr>
          <w:trHeight w:val="819"/>
        </w:trPr>
        <w:tc>
          <w:tcPr>
            <w:tcW w:w="764" w:type="dxa"/>
          </w:tcPr>
          <w:p w14:paraId="21FBAC8E" w14:textId="77777777" w:rsidR="00287F8E" w:rsidRPr="008F7BC5" w:rsidRDefault="00287F8E">
            <w:pPr>
              <w:spacing w:line="253" w:lineRule="auto"/>
              <w:rPr>
                <w:sz w:val="15"/>
                <w:szCs w:val="15"/>
              </w:rPr>
            </w:pPr>
          </w:p>
          <w:p w14:paraId="4F17781C" w14:textId="77777777" w:rsidR="00287F8E" w:rsidRPr="008F7BC5" w:rsidRDefault="00000000">
            <w:pPr>
              <w:pStyle w:val="TableText"/>
              <w:spacing w:before="75"/>
              <w:ind w:left="314"/>
              <w:rPr>
                <w:rFonts w:hint="eastAsia"/>
                <w:sz w:val="18"/>
                <w:szCs w:val="18"/>
              </w:rPr>
            </w:pPr>
            <w:r w:rsidRPr="008F7BC5">
              <w:rPr>
                <w:sz w:val="18"/>
                <w:szCs w:val="18"/>
              </w:rPr>
              <w:t>9</w:t>
            </w:r>
          </w:p>
        </w:tc>
        <w:tc>
          <w:tcPr>
            <w:tcW w:w="4277" w:type="dxa"/>
          </w:tcPr>
          <w:p w14:paraId="5267B0AC" w14:textId="77777777" w:rsidR="00287F8E" w:rsidRPr="008F7BC5" w:rsidRDefault="00000000">
            <w:pPr>
              <w:pStyle w:val="TableText"/>
              <w:spacing w:before="305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1"/>
                <w:sz w:val="18"/>
                <w:szCs w:val="18"/>
                <w:lang w:eastAsia="zh-CN"/>
              </w:rPr>
              <w:t>农事劳动常见损伤研究</w:t>
            </w:r>
          </w:p>
        </w:tc>
        <w:tc>
          <w:tcPr>
            <w:tcW w:w="7114" w:type="dxa"/>
          </w:tcPr>
          <w:p w14:paraId="6EF1A2E7" w14:textId="77777777" w:rsidR="00287F8E" w:rsidRPr="008F7BC5" w:rsidRDefault="00000000">
            <w:pPr>
              <w:pStyle w:val="TableText"/>
              <w:spacing w:before="76" w:line="196" w:lineRule="auto"/>
              <w:ind w:left="43" w:hanging="19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2"/>
                <w:sz w:val="18"/>
                <w:szCs w:val="18"/>
                <w:lang w:eastAsia="zh-CN"/>
              </w:rPr>
              <w:t>针对农事劳动中的劳动姿势、劳动频常以及劳动强度等，研究校准劳动</w:t>
            </w:r>
            <w:r w:rsidRPr="008F7BC5"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姿势、频度及变换调节的方式方法，减少不当动作对劳动者肌肉、骨骼</w:t>
            </w:r>
            <w:r w:rsidRPr="008F7BC5">
              <w:rPr>
                <w:spacing w:val="14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和关节等身体部位的伤害。</w:t>
            </w:r>
          </w:p>
        </w:tc>
        <w:tc>
          <w:tcPr>
            <w:tcW w:w="1454" w:type="dxa"/>
          </w:tcPr>
          <w:p w14:paraId="470371C0" w14:textId="77777777" w:rsidR="00287F8E" w:rsidRPr="008F7BC5" w:rsidRDefault="00000000">
            <w:pPr>
              <w:pStyle w:val="TableText"/>
              <w:spacing w:before="307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  <w:tr w:rsidR="00287F8E" w:rsidRPr="008F7BC5" w14:paraId="5A764AFF" w14:textId="77777777">
        <w:trPr>
          <w:trHeight w:val="1114"/>
        </w:trPr>
        <w:tc>
          <w:tcPr>
            <w:tcW w:w="764" w:type="dxa"/>
          </w:tcPr>
          <w:p w14:paraId="44025740" w14:textId="77777777" w:rsidR="00287F8E" w:rsidRPr="008F7BC5" w:rsidRDefault="00287F8E">
            <w:pPr>
              <w:spacing w:line="393" w:lineRule="auto"/>
              <w:rPr>
                <w:sz w:val="15"/>
                <w:szCs w:val="15"/>
              </w:rPr>
            </w:pPr>
          </w:p>
          <w:p w14:paraId="28D9FEC1" w14:textId="77777777" w:rsidR="00287F8E" w:rsidRPr="008F7BC5" w:rsidRDefault="00000000">
            <w:pPr>
              <w:pStyle w:val="TableText"/>
              <w:spacing w:before="75"/>
              <w:ind w:left="254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-7"/>
                <w:sz w:val="18"/>
                <w:szCs w:val="18"/>
              </w:rPr>
              <w:t>10</w:t>
            </w:r>
          </w:p>
        </w:tc>
        <w:tc>
          <w:tcPr>
            <w:tcW w:w="4277" w:type="dxa"/>
          </w:tcPr>
          <w:p w14:paraId="4E0EF70C" w14:textId="77777777" w:rsidR="00287F8E" w:rsidRPr="008F7BC5" w:rsidRDefault="00287F8E">
            <w:pPr>
              <w:spacing w:line="369" w:lineRule="auto"/>
              <w:rPr>
                <w:sz w:val="15"/>
                <w:szCs w:val="15"/>
                <w:lang w:eastAsia="zh-CN"/>
              </w:rPr>
            </w:pPr>
          </w:p>
          <w:p w14:paraId="2F286565" w14:textId="77777777" w:rsidR="00287F8E" w:rsidRPr="008F7BC5" w:rsidRDefault="00000000">
            <w:pPr>
              <w:pStyle w:val="TableText"/>
              <w:spacing w:before="75" w:line="219" w:lineRule="auto"/>
              <w:ind w:left="11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z w:val="18"/>
                <w:szCs w:val="18"/>
                <w:lang w:eastAsia="zh-CN"/>
              </w:rPr>
              <w:t>河南省彩票公信力建设路径探索研究</w:t>
            </w:r>
          </w:p>
        </w:tc>
        <w:tc>
          <w:tcPr>
            <w:tcW w:w="7114" w:type="dxa"/>
          </w:tcPr>
          <w:p w14:paraId="3BC6ABF5" w14:textId="77777777" w:rsidR="00287F8E" w:rsidRPr="008F7BC5" w:rsidRDefault="00000000">
            <w:pPr>
              <w:pStyle w:val="TableText"/>
              <w:spacing w:before="227" w:line="230" w:lineRule="auto"/>
              <w:ind w:left="64"/>
              <w:jc w:val="both"/>
              <w:rPr>
                <w:rFonts w:hint="eastAsia"/>
                <w:sz w:val="18"/>
                <w:szCs w:val="18"/>
                <w:lang w:eastAsia="zh-CN"/>
              </w:rPr>
            </w:pPr>
            <w:r w:rsidRPr="008F7BC5">
              <w:rPr>
                <w:spacing w:val="-3"/>
                <w:sz w:val="18"/>
                <w:szCs w:val="18"/>
                <w:lang w:eastAsia="zh-CN"/>
              </w:rPr>
              <w:t>彩票的公信力建设直接关系到社会公众对公益事业的信任和参与度，关</w:t>
            </w:r>
            <w:r w:rsidRPr="008F7BC5"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3"/>
                <w:sz w:val="18"/>
                <w:szCs w:val="18"/>
                <w:lang w:eastAsia="zh-CN"/>
              </w:rPr>
              <w:t>系到彩票事业的安全稳定健康发展。研究应深入剖析当前彩票公信力建</w:t>
            </w:r>
            <w:r w:rsidRPr="008F7BC5">
              <w:rPr>
                <w:spacing w:val="1"/>
                <w:sz w:val="18"/>
                <w:szCs w:val="18"/>
                <w:lang w:eastAsia="zh-CN"/>
              </w:rPr>
              <w:t xml:space="preserve"> </w:t>
            </w:r>
            <w:r w:rsidRPr="008F7BC5">
              <w:rPr>
                <w:spacing w:val="-1"/>
                <w:sz w:val="18"/>
                <w:szCs w:val="18"/>
                <w:lang w:eastAsia="zh-CN"/>
              </w:rPr>
              <w:t>设存在的问题和原因，研究提出彩票公信力建设路径。</w:t>
            </w:r>
          </w:p>
        </w:tc>
        <w:tc>
          <w:tcPr>
            <w:tcW w:w="1454" w:type="dxa"/>
          </w:tcPr>
          <w:p w14:paraId="4FBFAECB" w14:textId="77777777" w:rsidR="00287F8E" w:rsidRPr="008F7BC5" w:rsidRDefault="00287F8E">
            <w:pPr>
              <w:spacing w:line="371" w:lineRule="auto"/>
              <w:rPr>
                <w:sz w:val="15"/>
                <w:szCs w:val="15"/>
                <w:lang w:eastAsia="zh-CN"/>
              </w:rPr>
            </w:pPr>
          </w:p>
          <w:p w14:paraId="07A184F4" w14:textId="77777777" w:rsidR="00287F8E" w:rsidRPr="008F7BC5" w:rsidRDefault="00000000">
            <w:pPr>
              <w:pStyle w:val="TableText"/>
              <w:spacing w:before="75" w:line="219" w:lineRule="auto"/>
              <w:ind w:left="190"/>
              <w:rPr>
                <w:rFonts w:hint="eastAsia"/>
                <w:sz w:val="18"/>
                <w:szCs w:val="18"/>
              </w:rPr>
            </w:pPr>
            <w:r w:rsidRPr="008F7BC5">
              <w:rPr>
                <w:spacing w:val="2"/>
                <w:sz w:val="18"/>
                <w:szCs w:val="18"/>
              </w:rPr>
              <w:t>竞争性申报</w:t>
            </w:r>
          </w:p>
        </w:tc>
      </w:tr>
    </w:tbl>
    <w:p w14:paraId="072807FC" w14:textId="77777777" w:rsidR="00287F8E" w:rsidRPr="008F7BC5" w:rsidRDefault="00287F8E">
      <w:pPr>
        <w:rPr>
          <w:sz w:val="15"/>
          <w:szCs w:val="15"/>
        </w:rPr>
      </w:pPr>
    </w:p>
    <w:sectPr w:rsidR="00287F8E" w:rsidRPr="008F7BC5">
      <w:pgSz w:w="15880" w:h="22450"/>
      <w:pgMar w:top="1535" w:right="1135" w:bottom="0" w:left="11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7F8E"/>
    <w:rsid w:val="00287F8E"/>
    <w:rsid w:val="00702B65"/>
    <w:rsid w:val="008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0322D"/>
  <w15:docId w15:val="{444F25AC-6131-414A-9DAA-E525CED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2025-03-26T17:10:00Z</dcterms:created>
  <dcterms:modified xsi:type="dcterms:W3CDTF">2025-03-26T09:11:00Z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2025-03-26T17:10:25Z</vt:filetime>
  </property>
  <property fmtid="{D5CDD505-2E9C-101B-9397-08002B2CF9AE}" pid="4" name="UsrData">
    <vt:lpwstr>67e3c47df76c49001faf6c53wl</vt:lpwstr>
  </property>
</Properties>
</file>